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3.xml" ContentType="application/vnd.openxmlformats-officedocument.drawingml.chartshapes+xml"/>
  <Override PartName="/word/footer1.xml" ContentType="application/vnd.openxmlformats-officedocument.wordprocessingml.footer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4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5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6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drawings/drawing7.xml" ContentType="application/vnd.openxmlformats-officedocument.drawingml.chartshapes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8.xml" ContentType="application/vnd.openxmlformats-officedocument.drawingml.chartshapes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drawings/drawing9.xml" ContentType="application/vnd.openxmlformats-officedocument.drawingml.chartshapes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drawings/drawing10.xml" ContentType="application/vnd.openxmlformats-officedocument.drawingml.chartshapes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drawings/drawing11.xml" ContentType="application/vnd.openxmlformats-officedocument.drawingml.chartshapes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drawings/drawing12.xml" ContentType="application/vnd.openxmlformats-officedocument.drawingml.chartshapes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drawings/drawing13.xml" ContentType="application/vnd.openxmlformats-officedocument.drawingml.chartshapes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drawings/drawing14.xml" ContentType="application/vnd.openxmlformats-officedocument.drawingml.chartshapes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drawings/drawing15.xml" ContentType="application/vnd.openxmlformats-officedocument.drawingml.chartshapes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drawings/drawing16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36CB" w:rsidRDefault="00500D0F" w:rsidP="00821ABB">
      <w:pPr>
        <w:pBdr>
          <w:bottom w:val="single" w:sz="6" w:space="1" w:color="auto"/>
        </w:pBdr>
        <w:spacing w:after="0"/>
        <w:rPr>
          <w:i/>
          <w:color w:val="4472C4" w:themeColor="accent5"/>
        </w:rPr>
      </w:pPr>
      <w:r>
        <w:rPr>
          <w:i/>
          <w:color w:val="4472C4" w:themeColor="accent5"/>
        </w:rPr>
        <w:t xml:space="preserve"> </w:t>
      </w:r>
      <w:r w:rsidR="005036CB">
        <w:rPr>
          <w:i/>
          <w:color w:val="4472C4" w:themeColor="accent5"/>
        </w:rPr>
        <w:t>(</w:t>
      </w:r>
      <w:r w:rsidR="005036CB" w:rsidRPr="005036CB">
        <w:rPr>
          <w:i/>
          <w:color w:val="4472C4" w:themeColor="accent5"/>
        </w:rPr>
        <w:t xml:space="preserve">Example: </w:t>
      </w:r>
      <w:hyperlink r:id="rId8" w:history="1">
        <w:r w:rsidR="005036CB" w:rsidRPr="009D1140">
          <w:rPr>
            <w:rStyle w:val="Hyperlink"/>
            <w:i/>
          </w:rPr>
          <w:t>https://apps.urban.org/features/baltimore-investment-flows/</w:t>
        </w:r>
      </w:hyperlink>
      <w:r w:rsidR="005036CB">
        <w:rPr>
          <w:i/>
          <w:color w:val="4472C4" w:themeColor="accent5"/>
        </w:rPr>
        <w:t>)</w:t>
      </w:r>
    </w:p>
    <w:p w:rsidR="00304302" w:rsidRDefault="00304302" w:rsidP="00821ABB">
      <w:pPr>
        <w:spacing w:after="0"/>
        <w:rPr>
          <w:i/>
          <w:color w:val="4472C4" w:themeColor="accent5"/>
        </w:rPr>
      </w:pPr>
    </w:p>
    <w:p w:rsidR="00500D0F" w:rsidRPr="00500D0F" w:rsidRDefault="00500D0F" w:rsidP="00500D0F">
      <w:pPr>
        <w:jc w:val="center"/>
        <w:rPr>
          <w:b/>
          <w:sz w:val="28"/>
        </w:rPr>
      </w:pPr>
      <w:r w:rsidRPr="00700425">
        <w:rPr>
          <w:b/>
          <w:sz w:val="28"/>
        </w:rPr>
        <w:t xml:space="preserve">Trends in Job Density </w:t>
      </w:r>
      <w:r w:rsidRPr="00700425">
        <w:rPr>
          <w:sz w:val="28"/>
        </w:rPr>
        <w:t>(Mock-up)</w:t>
      </w:r>
    </w:p>
    <w:p w:rsidR="00500D0F" w:rsidRDefault="00304302" w:rsidP="00304302">
      <w:pPr>
        <w:pBdr>
          <w:bottom w:val="single" w:sz="6" w:space="1" w:color="auto"/>
        </w:pBdr>
      </w:pPr>
      <w:r>
        <w:t>[Intro text</w:t>
      </w:r>
      <w:r w:rsidR="00500D0F">
        <w:t>]</w:t>
      </w:r>
      <w:r w:rsidR="00500D0F"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0BE8E41" wp14:editId="79641F23">
                <wp:simplePos x="0" y="0"/>
                <wp:positionH relativeFrom="margin">
                  <wp:align>center</wp:align>
                </wp:positionH>
                <wp:positionV relativeFrom="paragraph">
                  <wp:posOffset>250825</wp:posOffset>
                </wp:positionV>
                <wp:extent cx="17706975" cy="1066800"/>
                <wp:effectExtent l="0" t="0" r="9525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6975" cy="1066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9D7674" id="Rectangle 4" o:spid="_x0000_s1026" style="position:absolute;margin-left:0;margin-top:19.75pt;width:1394.25pt;height:84pt;z-index:-25165926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" fillcolor="#d8d8d8 [2732]" stroked="f" strokeweight="1pt">
                <w10:wrap anchorx="margin"/>
              </v:rect>
            </w:pict>
          </mc:Fallback>
        </mc:AlternateContent>
      </w:r>
    </w:p>
    <w:p w:rsidR="00500D0F" w:rsidRDefault="00500D0F" w:rsidP="00304302">
      <w:r>
        <w:t>[Overview of sources and methods</w:t>
      </w:r>
      <w:r w:rsidR="00185B72">
        <w:t xml:space="preserve"> w/ static infographic</w:t>
      </w:r>
      <w:r>
        <w:t>]</w:t>
      </w:r>
    </w:p>
    <w:p w:rsidR="00500D0F" w:rsidRDefault="00500D0F" w:rsidP="00304302">
      <w:pPr>
        <w:pBdr>
          <w:bottom w:val="single" w:sz="6" w:space="1" w:color="auto"/>
        </w:pBdr>
      </w:pPr>
    </w:p>
    <w:p w:rsidR="00500D0F" w:rsidRDefault="00500D0F" w:rsidP="00304302">
      <w:pPr>
        <w:pBdr>
          <w:bottom w:val="single" w:sz="6" w:space="1" w:color="auto"/>
        </w:pBdr>
      </w:pPr>
    </w:p>
    <w:p w:rsidR="00500D0F" w:rsidRDefault="00500D0F" w:rsidP="00304302">
      <w:pPr>
        <w:pBdr>
          <w:bottom w:val="single" w:sz="6" w:space="1" w:color="auto"/>
        </w:pBdr>
      </w:pPr>
    </w:p>
    <w:p w:rsidR="00273933" w:rsidRDefault="00FF49CC" w:rsidP="00821ABB">
      <w:pPr>
        <w:spacing w:after="0"/>
        <w:rPr>
          <w:b/>
          <w:sz w:val="32"/>
        </w:rPr>
      </w:pPr>
      <w:r>
        <w:rPr>
          <w:b/>
          <w:sz w:val="32"/>
        </w:rPr>
        <w:t>Metropolitan</w:t>
      </w:r>
      <w:r w:rsidRPr="00304302">
        <w:rPr>
          <w:b/>
          <w:sz w:val="32"/>
        </w:rPr>
        <w:t xml:space="preserve"> America</w:t>
      </w:r>
      <w:r>
        <w:rPr>
          <w:b/>
          <w:sz w:val="32"/>
        </w:rPr>
        <w:t>’s job</w:t>
      </w:r>
      <w:r w:rsidR="00304302">
        <w:rPr>
          <w:b/>
          <w:sz w:val="32"/>
        </w:rPr>
        <w:t xml:space="preserve"> </w:t>
      </w:r>
      <w:r>
        <w:rPr>
          <w:b/>
          <w:sz w:val="32"/>
        </w:rPr>
        <w:t xml:space="preserve">density increased from </w:t>
      </w:r>
      <w:r w:rsidR="009539D6" w:rsidRPr="00304302">
        <w:rPr>
          <w:b/>
          <w:sz w:val="32"/>
        </w:rPr>
        <w:t xml:space="preserve">2004 </w:t>
      </w:r>
      <w:r>
        <w:rPr>
          <w:b/>
          <w:sz w:val="32"/>
        </w:rPr>
        <w:t>to</w:t>
      </w:r>
      <w:r w:rsidR="009539D6" w:rsidRPr="00304302">
        <w:rPr>
          <w:b/>
          <w:sz w:val="32"/>
        </w:rPr>
        <w:t xml:space="preserve"> </w:t>
      </w:r>
      <w:r w:rsidR="000E0826" w:rsidRPr="00304302">
        <w:rPr>
          <w:b/>
          <w:sz w:val="32"/>
        </w:rPr>
        <w:t>2015</w:t>
      </w:r>
    </w:p>
    <w:p w:rsidR="00AE0232" w:rsidRDefault="00304302" w:rsidP="00304302">
      <w:r>
        <w:t>[</w:t>
      </w:r>
      <w:r w:rsidR="00500D0F">
        <w:t>Short explanatory t</w:t>
      </w:r>
      <w:r w:rsidR="00500D0F" w:rsidRPr="00500D0F">
        <w:t>ext</w:t>
      </w:r>
      <w:r>
        <w:t>]</w:t>
      </w:r>
    </w:p>
    <w:p w:rsidR="00304302" w:rsidRDefault="00304302" w:rsidP="00304302">
      <w:pPr>
        <w:spacing w:after="0"/>
      </w:pPr>
      <w:r w:rsidRPr="00500D0F">
        <w:rPr>
          <w:highlight w:val="yellow"/>
        </w:rPr>
        <w:t>Figure 1(A)</w:t>
      </w:r>
    </w:p>
    <w:p w:rsidR="00304302" w:rsidRPr="00304302" w:rsidRDefault="00500D0F" w:rsidP="00304302">
      <w:pPr>
        <w:spacing w:after="0"/>
        <w:rPr>
          <w:b/>
        </w:rPr>
      </w:pPr>
      <w:r w:rsidRPr="00500D0F">
        <w:rPr>
          <w:b/>
          <w:highlight w:val="yellow"/>
        </w:rPr>
        <w:t>ANNOTATION:</w:t>
      </w:r>
      <w:r>
        <w:rPr>
          <w:b/>
        </w:rPr>
        <w:t xml:space="preserve"> </w:t>
      </w:r>
      <w:r w:rsidR="00FF49CC">
        <w:rPr>
          <w:b/>
        </w:rPr>
        <w:t>The perceived job density of all 94 large metro areas taken together increased nearly 30 percent, indicating job growth was highly concentrated in dense areas during this period</w:t>
      </w:r>
      <w:r w:rsidR="008D7750">
        <w:rPr>
          <w:b/>
        </w:rPr>
        <w:t>.</w:t>
      </w:r>
    </w:p>
    <w:p w:rsidR="009539D6" w:rsidRDefault="00BD68B1" w:rsidP="00821ABB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3186A39" wp14:editId="1E2B80FC">
            <wp:extent cx="6858000" cy="3566160"/>
            <wp:effectExtent l="0" t="0" r="0" b="15240"/>
            <wp:docPr id="37" name="Chart 3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500D0F" w:rsidRPr="00BD68B1" w:rsidRDefault="00500D0F" w:rsidP="00821ABB">
      <w:pPr>
        <w:spacing w:after="0"/>
        <w:rPr>
          <w:b/>
          <w:sz w:val="18"/>
        </w:rPr>
      </w:pPr>
    </w:p>
    <w:p w:rsidR="00500D0F" w:rsidRDefault="00500D0F" w:rsidP="00821ABB">
      <w:pPr>
        <w:spacing w:after="0"/>
      </w:pPr>
      <w:r w:rsidRPr="00500D0F">
        <w:rPr>
          <w:highlight w:val="yellow"/>
        </w:rPr>
        <w:t>NB: Scrolling brings up second line of same chart:</w:t>
      </w:r>
    </w:p>
    <w:p w:rsidR="00AE0232" w:rsidRPr="00BD68B1" w:rsidRDefault="00AE0232" w:rsidP="00821ABB">
      <w:pPr>
        <w:spacing w:after="0"/>
        <w:rPr>
          <w:sz w:val="18"/>
        </w:rPr>
      </w:pPr>
    </w:p>
    <w:p w:rsidR="00E83265" w:rsidRDefault="00E83265" w:rsidP="00E83265">
      <w:pPr>
        <w:spacing w:after="0"/>
      </w:pPr>
      <w:r w:rsidRPr="00500D0F">
        <w:rPr>
          <w:highlight w:val="yellow"/>
        </w:rPr>
        <w:t>Figure 1(</w:t>
      </w:r>
      <w:r w:rsidR="00B975F0">
        <w:rPr>
          <w:highlight w:val="yellow"/>
        </w:rPr>
        <w:t>B</w:t>
      </w:r>
      <w:r w:rsidRPr="00500D0F">
        <w:rPr>
          <w:highlight w:val="yellow"/>
        </w:rPr>
        <w:t>)</w:t>
      </w:r>
    </w:p>
    <w:p w:rsidR="00E83265" w:rsidRDefault="00E83265" w:rsidP="00E83265">
      <w:pPr>
        <w:spacing w:after="0"/>
        <w:rPr>
          <w:b/>
        </w:rPr>
      </w:pPr>
      <w:r w:rsidRPr="00500D0F">
        <w:rPr>
          <w:b/>
          <w:highlight w:val="yellow"/>
        </w:rPr>
        <w:lastRenderedPageBreak/>
        <w:t>ANNOTATION:</w:t>
      </w:r>
      <w:r>
        <w:rPr>
          <w:b/>
        </w:rPr>
        <w:t xml:space="preserve"> </w:t>
      </w:r>
      <w:r w:rsidR="00FF49CC">
        <w:rPr>
          <w:b/>
        </w:rPr>
        <w:t xml:space="preserve">A set of </w:t>
      </w:r>
      <w:r w:rsidR="00784D1C">
        <w:rPr>
          <w:b/>
        </w:rPr>
        <w:t>four</w:t>
      </w:r>
      <w:r w:rsidR="00BD61A1">
        <w:rPr>
          <w:b/>
        </w:rPr>
        <w:t xml:space="preserve"> </w:t>
      </w:r>
      <w:r w:rsidR="00FF49CC">
        <w:rPr>
          <w:b/>
        </w:rPr>
        <w:t xml:space="preserve">extremely dense metro areas </w:t>
      </w:r>
      <w:r w:rsidR="00BD61A1">
        <w:rPr>
          <w:b/>
        </w:rPr>
        <w:t xml:space="preserve">saw an even greater increase in perceived job density, however, accounting for </w:t>
      </w:r>
      <w:r w:rsidR="0045030F">
        <w:rPr>
          <w:b/>
        </w:rPr>
        <w:t>about 90</w:t>
      </w:r>
      <w:r w:rsidR="00BD61A1">
        <w:rPr>
          <w:b/>
        </w:rPr>
        <w:t xml:space="preserve"> percent of the </w:t>
      </w:r>
      <w:r w:rsidR="000278CD">
        <w:rPr>
          <w:b/>
        </w:rPr>
        <w:t xml:space="preserve">increase in job </w:t>
      </w:r>
      <w:r w:rsidR="00BD61A1">
        <w:rPr>
          <w:b/>
        </w:rPr>
        <w:t>density among large metro areas</w:t>
      </w:r>
      <w:r w:rsidR="000278CD">
        <w:rPr>
          <w:b/>
        </w:rPr>
        <w:t xml:space="preserve"> during this period</w:t>
      </w:r>
      <w:r w:rsidR="008D7750">
        <w:rPr>
          <w:b/>
        </w:rPr>
        <w:t>.</w:t>
      </w:r>
    </w:p>
    <w:p w:rsidR="00BD61A1" w:rsidRDefault="00270E66" w:rsidP="00E83265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86088D6" wp14:editId="38522CBB">
            <wp:extent cx="6858000" cy="3566160"/>
            <wp:effectExtent l="0" t="0" r="0" b="1524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AE0232" w:rsidRDefault="00AE0232" w:rsidP="00E83265">
      <w:pPr>
        <w:spacing w:after="0"/>
        <w:rPr>
          <w:b/>
        </w:rPr>
      </w:pPr>
    </w:p>
    <w:p w:rsidR="00BD61A1" w:rsidRDefault="00BD61A1" w:rsidP="00BD61A1">
      <w:pPr>
        <w:spacing w:after="0"/>
      </w:pPr>
      <w:r w:rsidRPr="00500D0F">
        <w:rPr>
          <w:highlight w:val="yellow"/>
        </w:rPr>
        <w:t xml:space="preserve">NB: Scrolling brings up </w:t>
      </w:r>
      <w:r>
        <w:rPr>
          <w:highlight w:val="yellow"/>
        </w:rPr>
        <w:t>third</w:t>
      </w:r>
      <w:r w:rsidRPr="00500D0F">
        <w:rPr>
          <w:highlight w:val="yellow"/>
        </w:rPr>
        <w:t xml:space="preserve"> line of same chart:</w:t>
      </w:r>
    </w:p>
    <w:p w:rsidR="006451A7" w:rsidRPr="00500D0F" w:rsidRDefault="006451A7" w:rsidP="00BD61A1">
      <w:pPr>
        <w:spacing w:after="0"/>
      </w:pPr>
    </w:p>
    <w:p w:rsidR="00BD61A1" w:rsidRDefault="00BD61A1" w:rsidP="00BD61A1">
      <w:pPr>
        <w:spacing w:after="0"/>
      </w:pPr>
      <w:r w:rsidRPr="00500D0F">
        <w:rPr>
          <w:highlight w:val="yellow"/>
        </w:rPr>
        <w:t>Figure 1(</w:t>
      </w:r>
      <w:r>
        <w:rPr>
          <w:highlight w:val="yellow"/>
        </w:rPr>
        <w:t>C</w:t>
      </w:r>
      <w:r w:rsidRPr="00500D0F">
        <w:rPr>
          <w:highlight w:val="yellow"/>
        </w:rPr>
        <w:t>)</w:t>
      </w:r>
    </w:p>
    <w:p w:rsidR="00BD61A1" w:rsidRPr="00304302" w:rsidRDefault="00BD61A1" w:rsidP="00E83265">
      <w:pPr>
        <w:spacing w:after="0"/>
        <w:rPr>
          <w:b/>
        </w:rPr>
      </w:pPr>
      <w:r w:rsidRPr="00500D0F">
        <w:rPr>
          <w:b/>
          <w:highlight w:val="yellow"/>
        </w:rPr>
        <w:t>ANNOTATION:</w:t>
      </w:r>
      <w:r>
        <w:rPr>
          <w:b/>
        </w:rPr>
        <w:t xml:space="preserve"> Excluding these </w:t>
      </w:r>
      <w:r w:rsidR="00784D1C">
        <w:rPr>
          <w:b/>
        </w:rPr>
        <w:t>four</w:t>
      </w:r>
      <w:r>
        <w:rPr>
          <w:b/>
        </w:rPr>
        <w:t xml:space="preserve"> extremely dense metro area</w:t>
      </w:r>
      <w:r w:rsidR="00560D44">
        <w:rPr>
          <w:b/>
        </w:rPr>
        <w:t>s</w:t>
      </w:r>
      <w:r>
        <w:rPr>
          <w:b/>
        </w:rPr>
        <w:t xml:space="preserve">, the other </w:t>
      </w:r>
      <w:r w:rsidR="00560D44">
        <w:rPr>
          <w:b/>
        </w:rPr>
        <w:t>90</w:t>
      </w:r>
      <w:r>
        <w:rPr>
          <w:b/>
        </w:rPr>
        <w:t xml:space="preserve"> large metro areas saw an increase in </w:t>
      </w:r>
      <w:r w:rsidR="000278CD">
        <w:rPr>
          <w:b/>
        </w:rPr>
        <w:t xml:space="preserve">perceived </w:t>
      </w:r>
      <w:r>
        <w:rPr>
          <w:b/>
        </w:rPr>
        <w:t xml:space="preserve">job density of only </w:t>
      </w:r>
      <w:r w:rsidR="00560D44">
        <w:rPr>
          <w:b/>
        </w:rPr>
        <w:t>5</w:t>
      </w:r>
      <w:r>
        <w:rPr>
          <w:b/>
        </w:rPr>
        <w:t xml:space="preserve"> percent</w:t>
      </w:r>
      <w:r w:rsidR="000278CD">
        <w:rPr>
          <w:b/>
        </w:rPr>
        <w:t>, on average</w:t>
      </w:r>
      <w:r w:rsidR="008D7750">
        <w:rPr>
          <w:b/>
        </w:rPr>
        <w:t>.</w:t>
      </w:r>
    </w:p>
    <w:p w:rsidR="00FF49CC" w:rsidRDefault="00270E66" w:rsidP="00FF49CC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F8870DE" wp14:editId="10B9DC5C">
            <wp:extent cx="6858000" cy="3566160"/>
            <wp:effectExtent l="0" t="0" r="0" b="1524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AE0232" w:rsidRDefault="00AE0232" w:rsidP="00821ABB">
      <w:pPr>
        <w:spacing w:after="0"/>
        <w:rPr>
          <w:b/>
        </w:rPr>
        <w:sectPr w:rsidR="00AE0232" w:rsidSect="00304302">
          <w:footerReference w:type="default" r:id="rId12"/>
          <w:pgSz w:w="12240" w:h="20160" w:code="5"/>
          <w:pgMar w:top="720" w:right="720" w:bottom="720" w:left="720" w:header="720" w:footer="720" w:gutter="0"/>
          <w:paperSrc w:first="258" w:other="258"/>
          <w:cols w:space="720"/>
          <w:docGrid w:linePitch="360"/>
        </w:sectPr>
      </w:pPr>
    </w:p>
    <w:p w:rsidR="00AE0232" w:rsidRDefault="00AE0232" w:rsidP="00AE0232"/>
    <w:p w:rsidR="00C814D8" w:rsidRDefault="00C814D8" w:rsidP="00C814D8">
      <w:pPr>
        <w:spacing w:after="0"/>
        <w:rPr>
          <w:b/>
          <w:sz w:val="32"/>
        </w:rPr>
      </w:pPr>
      <w:r>
        <w:rPr>
          <w:b/>
          <w:sz w:val="32"/>
        </w:rPr>
        <w:lastRenderedPageBreak/>
        <w:t xml:space="preserve">Not all metro </w:t>
      </w:r>
      <w:r w:rsidR="00BD61A1">
        <w:rPr>
          <w:b/>
          <w:sz w:val="32"/>
        </w:rPr>
        <w:t xml:space="preserve">areas saw </w:t>
      </w:r>
      <w:r w:rsidR="000278CD">
        <w:rPr>
          <w:b/>
          <w:sz w:val="32"/>
        </w:rPr>
        <w:t xml:space="preserve">an increase in </w:t>
      </w:r>
      <w:r w:rsidR="00AE0232">
        <w:rPr>
          <w:b/>
          <w:sz w:val="32"/>
        </w:rPr>
        <w:t>job density</w:t>
      </w:r>
      <w:r w:rsidR="00965F24">
        <w:rPr>
          <w:b/>
          <w:sz w:val="32"/>
        </w:rPr>
        <w:t>, however</w:t>
      </w:r>
    </w:p>
    <w:p w:rsidR="00C814D8" w:rsidRPr="00500D0F" w:rsidRDefault="00C814D8" w:rsidP="004D12DD">
      <w:pPr>
        <w:pStyle w:val="NoSpacing"/>
      </w:pPr>
      <w:r w:rsidRPr="00500D0F">
        <w:t>[</w:t>
      </w:r>
      <w:r>
        <w:t>Short explanatory t</w:t>
      </w:r>
      <w:r w:rsidRPr="00500D0F">
        <w:t>ext]</w:t>
      </w:r>
    </w:p>
    <w:p w:rsidR="00C814D8" w:rsidRDefault="00C814D8" w:rsidP="004D12DD">
      <w:pPr>
        <w:pStyle w:val="NoSpacing"/>
        <w:rPr>
          <w:b/>
        </w:rPr>
      </w:pPr>
    </w:p>
    <w:p w:rsidR="00C814D8" w:rsidRPr="00500D0F" w:rsidRDefault="00C814D8" w:rsidP="004D12DD">
      <w:pPr>
        <w:pStyle w:val="NoSpacing"/>
        <w:rPr>
          <w:highlight w:val="yellow"/>
        </w:rPr>
      </w:pPr>
      <w:r w:rsidRPr="00500D0F">
        <w:rPr>
          <w:highlight w:val="yellow"/>
        </w:rPr>
        <w:t xml:space="preserve">Figure </w:t>
      </w:r>
      <w:r w:rsidR="007F12C1">
        <w:rPr>
          <w:highlight w:val="yellow"/>
        </w:rPr>
        <w:t>2</w:t>
      </w:r>
      <w:r w:rsidRPr="00500D0F">
        <w:rPr>
          <w:highlight w:val="yellow"/>
        </w:rPr>
        <w:t xml:space="preserve">(A) </w:t>
      </w:r>
    </w:p>
    <w:p w:rsidR="00C814D8" w:rsidRPr="00500D0F" w:rsidRDefault="00C814D8" w:rsidP="004D12DD">
      <w:pPr>
        <w:pStyle w:val="NoSpacing"/>
        <w:rPr>
          <w:b/>
        </w:rPr>
      </w:pPr>
      <w:r w:rsidRPr="00500D0F">
        <w:rPr>
          <w:b/>
          <w:highlight w:val="yellow"/>
        </w:rPr>
        <w:t>ANNOTATION:</w:t>
      </w:r>
      <w:r w:rsidRPr="00500D0F">
        <w:rPr>
          <w:b/>
        </w:rPr>
        <w:t xml:space="preserve"> </w:t>
      </w:r>
      <w:r>
        <w:rPr>
          <w:b/>
        </w:rPr>
        <w:t xml:space="preserve">Out of 94 large U.S. metro areas, 48 saw </w:t>
      </w:r>
      <w:r w:rsidR="0045030F">
        <w:rPr>
          <w:b/>
        </w:rPr>
        <w:t xml:space="preserve">increases </w:t>
      </w:r>
      <w:r>
        <w:rPr>
          <w:b/>
        </w:rPr>
        <w:t>in</w:t>
      </w:r>
      <w:r w:rsidR="0045030F">
        <w:rPr>
          <w:b/>
        </w:rPr>
        <w:t xml:space="preserve"> perceived</w:t>
      </w:r>
      <w:r>
        <w:rPr>
          <w:b/>
        </w:rPr>
        <w:t xml:space="preserve"> job density from 200</w:t>
      </w:r>
      <w:r w:rsidR="0045030F">
        <w:rPr>
          <w:b/>
        </w:rPr>
        <w:t>4 to 2015 while 46 saw decreases</w:t>
      </w:r>
      <w:r w:rsidR="008D7750">
        <w:rPr>
          <w:b/>
        </w:rPr>
        <w:t>.</w:t>
      </w:r>
    </w:p>
    <w:p w:rsidR="00C814D8" w:rsidRDefault="004D12DD" w:rsidP="004D12DD">
      <w:pPr>
        <w:pStyle w:val="NoSpacing"/>
        <w:rPr>
          <w:b/>
        </w:rPr>
      </w:pPr>
      <w:r>
        <w:rPr>
          <w:noProof/>
          <w:lang w:eastAsia="en-US"/>
        </w:rPr>
        <w:t>[U.S. METROS MAP]</w:t>
      </w:r>
      <w:r w:rsidR="009F0C6B">
        <w:rPr>
          <w:noProof/>
        </w:rPr>
        <w:t xml:space="preserve"> </w:t>
      </w:r>
    </w:p>
    <w:p w:rsidR="00C21811" w:rsidRDefault="00C21811" w:rsidP="00C814D8">
      <w:pPr>
        <w:spacing w:after="0"/>
        <w:rPr>
          <w:highlight w:val="yellow"/>
        </w:rPr>
      </w:pPr>
    </w:p>
    <w:p w:rsidR="007F12C1" w:rsidRDefault="007F12C1" w:rsidP="007F12C1">
      <w:pPr>
        <w:spacing w:after="0"/>
        <w:rPr>
          <w:b/>
          <w:sz w:val="32"/>
        </w:rPr>
      </w:pPr>
      <w:r>
        <w:rPr>
          <w:b/>
          <w:sz w:val="32"/>
        </w:rPr>
        <w:t>Jobs in metropolitan</w:t>
      </w:r>
      <w:r w:rsidRPr="00304302">
        <w:rPr>
          <w:b/>
          <w:sz w:val="32"/>
        </w:rPr>
        <w:t xml:space="preserve"> </w:t>
      </w:r>
      <w:r>
        <w:rPr>
          <w:b/>
          <w:sz w:val="32"/>
        </w:rPr>
        <w:t xml:space="preserve">America grew denser than expected from </w:t>
      </w:r>
      <w:r w:rsidRPr="00304302">
        <w:rPr>
          <w:b/>
          <w:sz w:val="32"/>
        </w:rPr>
        <w:t xml:space="preserve">2004 </w:t>
      </w:r>
      <w:r>
        <w:rPr>
          <w:b/>
          <w:sz w:val="32"/>
        </w:rPr>
        <w:t>to</w:t>
      </w:r>
      <w:r w:rsidRPr="00304302">
        <w:rPr>
          <w:b/>
          <w:sz w:val="32"/>
        </w:rPr>
        <w:t xml:space="preserve"> 2015</w:t>
      </w:r>
    </w:p>
    <w:p w:rsidR="007F12C1" w:rsidRDefault="007F12C1" w:rsidP="004D12DD">
      <w:pPr>
        <w:pStyle w:val="NoSpacing"/>
      </w:pPr>
      <w:r>
        <w:t>[Short explanatory t</w:t>
      </w:r>
      <w:r w:rsidRPr="00500D0F">
        <w:t>ext</w:t>
      </w:r>
      <w:r>
        <w:t>]</w:t>
      </w:r>
    </w:p>
    <w:p w:rsidR="00365FB7" w:rsidRDefault="00365FB7" w:rsidP="004D12DD">
      <w:pPr>
        <w:pStyle w:val="NoSpacing"/>
      </w:pPr>
    </w:p>
    <w:p w:rsidR="007F12C1" w:rsidRDefault="007F12C1" w:rsidP="004D12DD">
      <w:pPr>
        <w:pStyle w:val="NoSpacing"/>
      </w:pPr>
      <w:r>
        <w:rPr>
          <w:highlight w:val="yellow"/>
        </w:rPr>
        <w:t>Figure 3</w:t>
      </w:r>
      <w:r w:rsidRPr="006451A7">
        <w:rPr>
          <w:highlight w:val="yellow"/>
        </w:rPr>
        <w:t>(A)</w:t>
      </w:r>
    </w:p>
    <w:p w:rsidR="007F12C1" w:rsidRDefault="007F12C1" w:rsidP="004D12DD">
      <w:pPr>
        <w:pStyle w:val="NoSpacing"/>
        <w:rPr>
          <w:b/>
        </w:rPr>
      </w:pPr>
      <w:r w:rsidRPr="00500D0F">
        <w:rPr>
          <w:b/>
          <w:highlight w:val="yellow"/>
        </w:rPr>
        <w:t>ANNOTATION</w:t>
      </w:r>
      <w:r>
        <w:rPr>
          <w:b/>
        </w:rPr>
        <w:t>:</w:t>
      </w:r>
      <w:r w:rsidR="008574CD" w:rsidRPr="008574CD">
        <w:t xml:space="preserve"> </w:t>
      </w:r>
      <w:r w:rsidR="008574CD">
        <w:rPr>
          <w:b/>
        </w:rPr>
        <w:t>Jo</w:t>
      </w:r>
      <w:r w:rsidR="008574CD" w:rsidRPr="008574CD">
        <w:rPr>
          <w:b/>
        </w:rPr>
        <w:t>b density</w:t>
      </w:r>
      <w:r w:rsidR="008574CD">
        <w:rPr>
          <w:b/>
        </w:rPr>
        <w:t xml:space="preserve"> in metropolitan America</w:t>
      </w:r>
      <w:r w:rsidR="008574CD" w:rsidRPr="008574CD">
        <w:rPr>
          <w:b/>
        </w:rPr>
        <w:t xml:space="preserve"> increased 50 percent more than would be expected based on</w:t>
      </w:r>
      <w:r w:rsidR="004E11A0">
        <w:rPr>
          <w:b/>
        </w:rPr>
        <w:t xml:space="preserve"> </w:t>
      </w:r>
      <w:r w:rsidR="004E11A0" w:rsidRPr="008574CD">
        <w:rPr>
          <w:b/>
        </w:rPr>
        <w:t>ind</w:t>
      </w:r>
      <w:r w:rsidR="004E11A0">
        <w:rPr>
          <w:b/>
        </w:rPr>
        <w:t>us</w:t>
      </w:r>
      <w:r w:rsidR="004E11A0" w:rsidRPr="008574CD">
        <w:rPr>
          <w:b/>
        </w:rPr>
        <w:t xml:space="preserve">try </w:t>
      </w:r>
      <w:r w:rsidR="008574CD" w:rsidRPr="008574CD">
        <w:rPr>
          <w:b/>
        </w:rPr>
        <w:t>trends</w:t>
      </w:r>
      <w:r w:rsidR="008D7750">
        <w:rPr>
          <w:b/>
        </w:rPr>
        <w:t>.</w:t>
      </w:r>
    </w:p>
    <w:p w:rsidR="00E32A16" w:rsidRPr="00E24D68" w:rsidRDefault="00E32A16" w:rsidP="004D12DD">
      <w:pPr>
        <w:pStyle w:val="NoSpacing"/>
      </w:pPr>
      <w:r>
        <w:rPr>
          <w:noProof/>
        </w:rPr>
        <w:drawing>
          <wp:inline distT="0" distB="0" distL="0" distR="0" wp14:anchorId="7B45E2C0" wp14:editId="4318DE74">
            <wp:extent cx="6858000" cy="3566160"/>
            <wp:effectExtent l="0" t="0" r="0" b="1524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7F12C1" w:rsidRDefault="007F12C1" w:rsidP="007F12C1">
      <w:pPr>
        <w:spacing w:after="0"/>
        <w:rPr>
          <w:b/>
        </w:rPr>
      </w:pPr>
    </w:p>
    <w:p w:rsidR="007F12C1" w:rsidRDefault="007F12C1" w:rsidP="007F12C1">
      <w:pPr>
        <w:pStyle w:val="NoSpacing"/>
      </w:pPr>
    </w:p>
    <w:p w:rsidR="007F12C1" w:rsidRDefault="007F12C1" w:rsidP="007F12C1">
      <w:pPr>
        <w:pStyle w:val="NoSpacing"/>
      </w:pPr>
      <w:r w:rsidRPr="00500D0F">
        <w:rPr>
          <w:highlight w:val="yellow"/>
        </w:rPr>
        <w:t>NB: Scrolling brings up second line of same chart:</w:t>
      </w:r>
    </w:p>
    <w:p w:rsidR="00BD68B1" w:rsidRDefault="00BD68B1" w:rsidP="007F12C1">
      <w:pPr>
        <w:pStyle w:val="NoSpacing"/>
      </w:pPr>
    </w:p>
    <w:p w:rsidR="00E15833" w:rsidRDefault="007F12C1" w:rsidP="007F12C1">
      <w:pPr>
        <w:spacing w:after="0"/>
        <w:rPr>
          <w:highlight w:val="yellow"/>
        </w:rPr>
      </w:pPr>
      <w:r>
        <w:rPr>
          <w:highlight w:val="yellow"/>
        </w:rPr>
        <w:t>Figure 3(B</w:t>
      </w:r>
      <w:r w:rsidRPr="006451A7">
        <w:rPr>
          <w:highlight w:val="yellow"/>
        </w:rPr>
        <w:t>)</w:t>
      </w:r>
    </w:p>
    <w:p w:rsidR="00E15833" w:rsidRDefault="00E15833" w:rsidP="007F12C1">
      <w:pPr>
        <w:spacing w:after="0"/>
      </w:pPr>
      <w:r w:rsidRPr="00500D0F">
        <w:rPr>
          <w:b/>
          <w:highlight w:val="yellow"/>
        </w:rPr>
        <w:t>ANNOTATION</w:t>
      </w:r>
      <w:r>
        <w:rPr>
          <w:b/>
        </w:rPr>
        <w:t>:</w:t>
      </w:r>
      <w:r w:rsidRPr="008574CD">
        <w:t xml:space="preserve"> </w:t>
      </w:r>
      <w:r>
        <w:rPr>
          <w:b/>
        </w:rPr>
        <w:t>Jo</w:t>
      </w:r>
      <w:r w:rsidRPr="008574CD">
        <w:rPr>
          <w:b/>
        </w:rPr>
        <w:t>b density</w:t>
      </w:r>
      <w:r>
        <w:rPr>
          <w:b/>
        </w:rPr>
        <w:t xml:space="preserve"> in metropolitan America</w:t>
      </w:r>
      <w:r w:rsidRPr="008574CD">
        <w:rPr>
          <w:b/>
        </w:rPr>
        <w:t xml:space="preserve"> increased 50 percent more than would be expected based on ind</w:t>
      </w:r>
      <w:r w:rsidR="004E11A0">
        <w:rPr>
          <w:b/>
        </w:rPr>
        <w:t>us</w:t>
      </w:r>
      <w:r w:rsidRPr="008574CD">
        <w:rPr>
          <w:b/>
        </w:rPr>
        <w:t>try trends</w:t>
      </w:r>
      <w:r w:rsidR="008D7750">
        <w:rPr>
          <w:b/>
        </w:rPr>
        <w:t>.</w:t>
      </w:r>
    </w:p>
    <w:p w:rsidR="007F12C1" w:rsidRDefault="00E15833" w:rsidP="007F12C1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B1543A8" wp14:editId="7067B30A">
            <wp:extent cx="6858000" cy="3566160"/>
            <wp:effectExtent l="0" t="0" r="0" b="1524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7F12C1" w:rsidRDefault="007F12C1" w:rsidP="007F12C1">
      <w:pPr>
        <w:spacing w:after="0"/>
      </w:pPr>
      <w:r w:rsidRPr="00500D0F">
        <w:rPr>
          <w:highlight w:val="yellow"/>
        </w:rPr>
        <w:t xml:space="preserve">NB: Scrolling brings up second </w:t>
      </w:r>
      <w:r>
        <w:rPr>
          <w:highlight w:val="yellow"/>
        </w:rPr>
        <w:t>version</w:t>
      </w:r>
      <w:r w:rsidRPr="00500D0F">
        <w:rPr>
          <w:highlight w:val="yellow"/>
        </w:rPr>
        <w:t xml:space="preserve"> of same chart:</w:t>
      </w:r>
    </w:p>
    <w:p w:rsidR="00E15833" w:rsidRPr="00E15833" w:rsidRDefault="00E15833" w:rsidP="007F12C1">
      <w:pPr>
        <w:spacing w:after="0"/>
        <w:rPr>
          <w:sz w:val="18"/>
        </w:rPr>
      </w:pPr>
    </w:p>
    <w:p w:rsidR="00BD68B1" w:rsidRDefault="00BD68B1" w:rsidP="007F12C1">
      <w:pPr>
        <w:spacing w:after="0"/>
      </w:pPr>
    </w:p>
    <w:p w:rsidR="00841EB2" w:rsidRDefault="00841EB2" w:rsidP="007F12C1">
      <w:pPr>
        <w:spacing w:after="0"/>
      </w:pPr>
    </w:p>
    <w:p w:rsidR="00841EB2" w:rsidRDefault="00841EB2" w:rsidP="007F12C1">
      <w:pPr>
        <w:spacing w:after="0"/>
      </w:pPr>
    </w:p>
    <w:p w:rsidR="00500D0F" w:rsidRDefault="00500D0F" w:rsidP="00500D0F">
      <w:pPr>
        <w:spacing w:after="0"/>
        <w:rPr>
          <w:b/>
          <w:sz w:val="32"/>
        </w:rPr>
      </w:pPr>
      <w:r>
        <w:rPr>
          <w:b/>
          <w:sz w:val="32"/>
        </w:rPr>
        <w:t>Nearly every sector contributed to metropolitan America’s increasing job density</w:t>
      </w:r>
    </w:p>
    <w:p w:rsidR="009539D6" w:rsidRPr="00500D0F" w:rsidRDefault="00500D0F" w:rsidP="00821ABB">
      <w:pPr>
        <w:spacing w:after="0"/>
      </w:pPr>
      <w:r w:rsidRPr="00500D0F">
        <w:t>[</w:t>
      </w:r>
      <w:r>
        <w:t>Short explanatory t</w:t>
      </w:r>
      <w:r w:rsidRPr="00500D0F">
        <w:t>ext]</w:t>
      </w:r>
    </w:p>
    <w:p w:rsidR="001B16E4" w:rsidRDefault="001B16E4" w:rsidP="00821ABB">
      <w:pPr>
        <w:spacing w:after="0"/>
      </w:pPr>
    </w:p>
    <w:p w:rsidR="006E74B9" w:rsidRDefault="00606811" w:rsidP="00821ABB">
      <w:pPr>
        <w:spacing w:after="0"/>
      </w:pPr>
      <w:r w:rsidRPr="00606811">
        <w:rPr>
          <w:highlight w:val="yellow"/>
        </w:rPr>
        <w:t xml:space="preserve">Figure </w:t>
      </w:r>
      <w:r w:rsidR="00841EB2">
        <w:rPr>
          <w:highlight w:val="yellow"/>
        </w:rPr>
        <w:t>4</w:t>
      </w:r>
      <w:r w:rsidRPr="00606811">
        <w:rPr>
          <w:highlight w:val="yellow"/>
        </w:rPr>
        <w:t>(A)</w:t>
      </w:r>
    </w:p>
    <w:p w:rsidR="00AE0232" w:rsidRPr="00500D0F" w:rsidRDefault="00AE0232" w:rsidP="00AE0232">
      <w:pPr>
        <w:spacing w:after="0"/>
        <w:rPr>
          <w:b/>
        </w:rPr>
      </w:pPr>
      <w:r w:rsidRPr="00500D0F">
        <w:rPr>
          <w:b/>
          <w:highlight w:val="yellow"/>
        </w:rPr>
        <w:t>ANNOTATION:</w:t>
      </w:r>
      <w:r w:rsidRPr="00500D0F">
        <w:rPr>
          <w:b/>
        </w:rPr>
        <w:t xml:space="preserve"> </w:t>
      </w:r>
      <w:r w:rsidR="00C21811">
        <w:rPr>
          <w:b/>
        </w:rPr>
        <w:t>Jobs in every sector except manufacturing and logistics became more concentrated in dense parts of metro areas between 2004 and 2015</w:t>
      </w:r>
      <w:r w:rsidR="008D7750">
        <w:rPr>
          <w:b/>
        </w:rPr>
        <w:t>.</w:t>
      </w:r>
    </w:p>
    <w:p w:rsidR="00AE0232" w:rsidRDefault="00AE0232" w:rsidP="00821ABB">
      <w:pPr>
        <w:spacing w:after="0"/>
      </w:pPr>
      <w:r>
        <w:rPr>
          <w:noProof/>
        </w:rPr>
        <w:drawing>
          <wp:inline distT="0" distB="0" distL="0" distR="0" wp14:anchorId="2D488B93" wp14:editId="1F2C8EBD">
            <wp:extent cx="6858000" cy="3657600"/>
            <wp:effectExtent l="0" t="0" r="0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AE0232" w:rsidRDefault="00AE0232" w:rsidP="00AE0232">
      <w:pPr>
        <w:spacing w:after="0"/>
        <w:rPr>
          <w:b/>
        </w:rPr>
      </w:pPr>
    </w:p>
    <w:p w:rsidR="008D7750" w:rsidRDefault="00AE0232" w:rsidP="00821ABB">
      <w:pPr>
        <w:spacing w:after="0"/>
      </w:pPr>
      <w:r>
        <w:rPr>
          <w:highlight w:val="yellow"/>
        </w:rPr>
        <w:t xml:space="preserve">NB: Scrolling brings up </w:t>
      </w:r>
      <w:r w:rsidR="008C4573">
        <w:rPr>
          <w:highlight w:val="yellow"/>
        </w:rPr>
        <w:t>second</w:t>
      </w:r>
      <w:r>
        <w:rPr>
          <w:highlight w:val="yellow"/>
        </w:rPr>
        <w:t xml:space="preserve"> column</w:t>
      </w:r>
      <w:r w:rsidRPr="00500D0F">
        <w:rPr>
          <w:highlight w:val="yellow"/>
        </w:rPr>
        <w:t xml:space="preserve"> of same chart:</w:t>
      </w:r>
    </w:p>
    <w:p w:rsidR="008D7750" w:rsidRDefault="008D7750" w:rsidP="00821ABB">
      <w:pPr>
        <w:spacing w:after="0"/>
      </w:pPr>
    </w:p>
    <w:p w:rsidR="00AE0232" w:rsidRDefault="00AE0232" w:rsidP="00AE0232">
      <w:pPr>
        <w:spacing w:after="0"/>
      </w:pPr>
      <w:r>
        <w:rPr>
          <w:highlight w:val="yellow"/>
        </w:rPr>
        <w:t xml:space="preserve">Figure </w:t>
      </w:r>
      <w:r w:rsidR="00841EB2">
        <w:rPr>
          <w:highlight w:val="yellow"/>
        </w:rPr>
        <w:t>4</w:t>
      </w:r>
      <w:r>
        <w:rPr>
          <w:highlight w:val="yellow"/>
        </w:rPr>
        <w:t>(B</w:t>
      </w:r>
      <w:r w:rsidRPr="00606811">
        <w:rPr>
          <w:highlight w:val="yellow"/>
        </w:rPr>
        <w:t>)</w:t>
      </w:r>
    </w:p>
    <w:p w:rsidR="00AE0232" w:rsidRPr="00AE0232" w:rsidRDefault="00AE0232" w:rsidP="00821ABB">
      <w:pPr>
        <w:spacing w:after="0"/>
        <w:rPr>
          <w:b/>
        </w:rPr>
      </w:pPr>
      <w:r w:rsidRPr="00500D0F">
        <w:rPr>
          <w:b/>
          <w:highlight w:val="yellow"/>
        </w:rPr>
        <w:t>ANNOTATION:</w:t>
      </w:r>
      <w:r w:rsidRPr="00500D0F">
        <w:rPr>
          <w:b/>
        </w:rPr>
        <w:t xml:space="preserve"> </w:t>
      </w:r>
      <w:r w:rsidR="00C21811">
        <w:rPr>
          <w:b/>
        </w:rPr>
        <w:t>And those jobs grew even denser than would be expec</w:t>
      </w:r>
      <w:r w:rsidR="004E11A0">
        <w:rPr>
          <w:b/>
        </w:rPr>
        <w:t>ted in major indus</w:t>
      </w:r>
      <w:r w:rsidR="00C21811">
        <w:rPr>
          <w:b/>
        </w:rPr>
        <w:t xml:space="preserve">tries, such as professional services and information. </w:t>
      </w:r>
    </w:p>
    <w:p w:rsidR="00606811" w:rsidRDefault="00606811" w:rsidP="00821ABB">
      <w:pPr>
        <w:spacing w:after="0"/>
      </w:pPr>
      <w:r>
        <w:rPr>
          <w:noProof/>
        </w:rPr>
        <w:drawing>
          <wp:inline distT="0" distB="0" distL="0" distR="0" wp14:anchorId="6F1F2414" wp14:editId="3C0BD7E9">
            <wp:extent cx="6858000" cy="3657600"/>
            <wp:effectExtent l="0" t="0" r="0" b="0"/>
            <wp:docPr id="28" name="Chart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BD68B1" w:rsidRDefault="00BD68B1" w:rsidP="001B16E4">
      <w:pPr>
        <w:spacing w:after="0"/>
        <w:rPr>
          <w:highlight w:val="yellow"/>
        </w:rPr>
      </w:pPr>
    </w:p>
    <w:p w:rsidR="001B16E4" w:rsidRDefault="001B16E4" w:rsidP="00821ABB">
      <w:pPr>
        <w:spacing w:after="0"/>
      </w:pPr>
    </w:p>
    <w:p w:rsidR="008D7750" w:rsidRDefault="008D7750" w:rsidP="00821ABB">
      <w:pPr>
        <w:spacing w:after="0"/>
      </w:pPr>
    </w:p>
    <w:p w:rsidR="0021203D" w:rsidRDefault="00245BDF" w:rsidP="0021203D">
      <w:pPr>
        <w:spacing w:after="0"/>
        <w:rPr>
          <w:b/>
          <w:sz w:val="32"/>
        </w:rPr>
      </w:pPr>
      <w:r>
        <w:rPr>
          <w:b/>
          <w:sz w:val="32"/>
        </w:rPr>
        <w:t xml:space="preserve">The densification trends are widespread in only six of the 16 major industries </w:t>
      </w:r>
    </w:p>
    <w:p w:rsidR="0021203D" w:rsidRPr="00500D0F" w:rsidRDefault="0021203D" w:rsidP="0021203D">
      <w:pPr>
        <w:spacing w:after="0"/>
      </w:pPr>
      <w:r w:rsidRPr="00500D0F">
        <w:t>[</w:t>
      </w:r>
      <w:r>
        <w:t>Short explanatory t</w:t>
      </w:r>
      <w:r w:rsidRPr="00500D0F">
        <w:t>ext]</w:t>
      </w:r>
    </w:p>
    <w:p w:rsidR="00BD68B1" w:rsidRDefault="00BD68B1" w:rsidP="00821ABB">
      <w:pPr>
        <w:spacing w:after="0"/>
      </w:pPr>
    </w:p>
    <w:p w:rsidR="00401BB2" w:rsidRDefault="00401BB2" w:rsidP="00821ABB">
      <w:pPr>
        <w:spacing w:after="0"/>
        <w:rPr>
          <w:highlight w:val="yellow"/>
        </w:rPr>
      </w:pPr>
      <w:r w:rsidRPr="00BD68B1">
        <w:rPr>
          <w:highlight w:val="yellow"/>
        </w:rPr>
        <w:t xml:space="preserve">Figure </w:t>
      </w:r>
      <w:r w:rsidR="0021203D">
        <w:rPr>
          <w:highlight w:val="yellow"/>
        </w:rPr>
        <w:t xml:space="preserve">5(A) </w:t>
      </w:r>
    </w:p>
    <w:p w:rsidR="0021203D" w:rsidRPr="00B40A38" w:rsidRDefault="0021203D" w:rsidP="00B40A38">
      <w:pPr>
        <w:spacing w:after="0"/>
        <w:rPr>
          <w:b/>
        </w:rPr>
      </w:pPr>
      <w:r w:rsidRPr="00E861F5">
        <w:rPr>
          <w:b/>
          <w:highlight w:val="yellow"/>
        </w:rPr>
        <w:t>ANNOTATION</w:t>
      </w:r>
      <w:r w:rsidRPr="00E861F5">
        <w:rPr>
          <w:b/>
        </w:rPr>
        <w:t>:</w:t>
      </w:r>
      <w:r w:rsidR="00245BDF">
        <w:rPr>
          <w:b/>
        </w:rPr>
        <w:t xml:space="preserve"> </w:t>
      </w:r>
      <w:r w:rsidR="00B40A38">
        <w:rPr>
          <w:b/>
        </w:rPr>
        <w:t>The densification trends are widespread in s</w:t>
      </w:r>
      <w:r w:rsidR="00245BDF">
        <w:rPr>
          <w:b/>
        </w:rPr>
        <w:t xml:space="preserve">ix industries of the economy, </w:t>
      </w:r>
      <w:r w:rsidR="00B40A38">
        <w:rPr>
          <w:b/>
        </w:rPr>
        <w:t>including</w:t>
      </w:r>
      <w:r w:rsidR="001359E9">
        <w:rPr>
          <w:b/>
        </w:rPr>
        <w:t xml:space="preserve"> </w:t>
      </w:r>
      <w:r w:rsidR="00B40A38">
        <w:rPr>
          <w:b/>
        </w:rPr>
        <w:t xml:space="preserve">health care, </w:t>
      </w:r>
      <w:r w:rsidR="001359E9">
        <w:rPr>
          <w:b/>
        </w:rPr>
        <w:t xml:space="preserve">hospitality, </w:t>
      </w:r>
      <w:r w:rsidR="00B40A38">
        <w:rPr>
          <w:b/>
        </w:rPr>
        <w:t xml:space="preserve">and education. </w:t>
      </w:r>
      <w:r w:rsidR="008D7750">
        <w:rPr>
          <w:b/>
        </w:rPr>
        <w:t>The perceived job density of those six industries increased in o</w:t>
      </w:r>
      <w:r w:rsidR="00245BDF">
        <w:rPr>
          <w:b/>
        </w:rPr>
        <w:t>ver 58 metro areas out of 94 larger U.S. metro areas</w:t>
      </w:r>
      <w:r w:rsidR="008D7750">
        <w:rPr>
          <w:b/>
        </w:rPr>
        <w:t xml:space="preserve"> between 2004 and 2015</w:t>
      </w:r>
      <w:r w:rsidR="008D7750">
        <w:t>.</w:t>
      </w:r>
    </w:p>
    <w:p w:rsidR="00401BB2" w:rsidRDefault="00832066" w:rsidP="00821ABB">
      <w:pPr>
        <w:spacing w:after="0"/>
      </w:pPr>
      <w:r>
        <w:rPr>
          <w:noProof/>
        </w:rPr>
        <w:lastRenderedPageBreak/>
        <w:drawing>
          <wp:inline distT="0" distB="0" distL="0" distR="0" wp14:anchorId="6E9D1D42" wp14:editId="38D6088A">
            <wp:extent cx="6858000" cy="3815080"/>
            <wp:effectExtent l="0" t="0" r="0" b="1397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5765297-0E69-4A7A-802B-E3CDA8ADD1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FC1C8B" w:rsidRDefault="00FC1C8B" w:rsidP="00821ABB">
      <w:pPr>
        <w:spacing w:after="0"/>
      </w:pPr>
    </w:p>
    <w:p w:rsidR="00FC1C8B" w:rsidRDefault="00AF1DF0" w:rsidP="00821ABB">
      <w:pPr>
        <w:spacing w:after="0"/>
      </w:pPr>
      <w:r w:rsidRPr="00C3383A">
        <w:rPr>
          <w:highlight w:val="yellow"/>
        </w:rPr>
        <w:t xml:space="preserve">NB: Scrolling brings up second </w:t>
      </w:r>
      <w:r>
        <w:rPr>
          <w:highlight w:val="yellow"/>
        </w:rPr>
        <w:t>bar</w:t>
      </w:r>
      <w:r w:rsidRPr="00C3383A">
        <w:rPr>
          <w:highlight w:val="yellow"/>
        </w:rPr>
        <w:t xml:space="preserve"> of same chart:</w:t>
      </w:r>
    </w:p>
    <w:p w:rsidR="00BD68B1" w:rsidRDefault="00BD68B1" w:rsidP="00821ABB">
      <w:pPr>
        <w:spacing w:after="0"/>
      </w:pPr>
    </w:p>
    <w:p w:rsidR="00BD68B1" w:rsidRDefault="00BD68B1" w:rsidP="00821ABB">
      <w:pPr>
        <w:spacing w:after="0"/>
      </w:pPr>
    </w:p>
    <w:p w:rsidR="004D12DD" w:rsidRDefault="004D12DD" w:rsidP="00821ABB">
      <w:pPr>
        <w:spacing w:after="0"/>
      </w:pPr>
    </w:p>
    <w:p w:rsidR="004D12DD" w:rsidRDefault="004D12DD" w:rsidP="00821ABB">
      <w:pPr>
        <w:spacing w:after="0"/>
      </w:pPr>
    </w:p>
    <w:p w:rsidR="004D12DD" w:rsidRDefault="004D12DD" w:rsidP="00821ABB">
      <w:pPr>
        <w:spacing w:after="0"/>
      </w:pPr>
    </w:p>
    <w:p w:rsidR="004D12DD" w:rsidRDefault="004D12DD" w:rsidP="00821ABB">
      <w:pPr>
        <w:spacing w:after="0"/>
      </w:pPr>
    </w:p>
    <w:p w:rsidR="004D12DD" w:rsidRDefault="004D12DD" w:rsidP="00821ABB">
      <w:pPr>
        <w:spacing w:after="0"/>
      </w:pPr>
    </w:p>
    <w:p w:rsidR="004D12DD" w:rsidRDefault="004D12DD" w:rsidP="00821ABB">
      <w:pPr>
        <w:spacing w:after="0"/>
      </w:pPr>
    </w:p>
    <w:p w:rsidR="004D12DD" w:rsidRDefault="004D12DD" w:rsidP="00821ABB">
      <w:pPr>
        <w:spacing w:after="0"/>
      </w:pPr>
    </w:p>
    <w:p w:rsidR="00C17C38" w:rsidRDefault="00401BB2" w:rsidP="00C17C38">
      <w:pPr>
        <w:spacing w:after="0"/>
      </w:pPr>
      <w:r w:rsidRPr="00BD68B1">
        <w:rPr>
          <w:highlight w:val="yellow"/>
        </w:rPr>
        <w:t xml:space="preserve">Figure </w:t>
      </w:r>
      <w:r w:rsidR="0021203D">
        <w:rPr>
          <w:highlight w:val="yellow"/>
        </w:rPr>
        <w:t xml:space="preserve">5(B) </w:t>
      </w:r>
    </w:p>
    <w:p w:rsidR="00C17C38" w:rsidRDefault="00C17C38" w:rsidP="00C17C38">
      <w:pPr>
        <w:spacing w:after="0"/>
      </w:pPr>
      <w:r w:rsidRPr="00500D0F">
        <w:rPr>
          <w:b/>
          <w:highlight w:val="yellow"/>
        </w:rPr>
        <w:t>ANNOTATION:</w:t>
      </w:r>
      <w:r w:rsidR="00245BDF">
        <w:rPr>
          <w:b/>
        </w:rPr>
        <w:t xml:space="preserve"> </w:t>
      </w:r>
      <w:r w:rsidR="00C3383A">
        <w:rPr>
          <w:b/>
        </w:rPr>
        <w:t>O</w:t>
      </w:r>
      <w:r w:rsidR="00245BDF">
        <w:rPr>
          <w:b/>
        </w:rPr>
        <w:t>nly headquarters and entertainment</w:t>
      </w:r>
      <w:r w:rsidR="00245BDF" w:rsidRPr="00245BDF">
        <w:rPr>
          <w:b/>
        </w:rPr>
        <w:t xml:space="preserve"> industries saw a</w:t>
      </w:r>
      <w:r w:rsidR="002B4F2A">
        <w:rPr>
          <w:b/>
        </w:rPr>
        <w:t xml:space="preserve"> greater</w:t>
      </w:r>
      <w:r w:rsidR="00245BDF" w:rsidRPr="00245BDF">
        <w:rPr>
          <w:b/>
        </w:rPr>
        <w:t xml:space="preserve"> increase in job density</w:t>
      </w:r>
      <w:r w:rsidR="00C3383A">
        <w:rPr>
          <w:b/>
        </w:rPr>
        <w:t>, however,</w:t>
      </w:r>
      <w:r w:rsidR="00245BDF" w:rsidRPr="00245BDF">
        <w:rPr>
          <w:b/>
        </w:rPr>
        <w:t xml:space="preserve"> in </w:t>
      </w:r>
      <w:r w:rsidR="002B4F2A">
        <w:rPr>
          <w:b/>
        </w:rPr>
        <w:t xml:space="preserve">about 40 </w:t>
      </w:r>
      <w:r w:rsidR="00245BDF" w:rsidRPr="00245BDF">
        <w:rPr>
          <w:b/>
        </w:rPr>
        <w:t>metro areas out of 94 larger U.S. metro areas</w:t>
      </w:r>
      <w:r w:rsidR="008D7750">
        <w:rPr>
          <w:b/>
        </w:rPr>
        <w:t>.</w:t>
      </w:r>
    </w:p>
    <w:p w:rsidR="00965EF5" w:rsidRDefault="00832066" w:rsidP="00C17C38">
      <w:pPr>
        <w:spacing w:after="0"/>
      </w:pPr>
      <w:r>
        <w:rPr>
          <w:noProof/>
        </w:rPr>
        <w:lastRenderedPageBreak/>
        <w:drawing>
          <wp:inline distT="0" distB="0" distL="0" distR="0" wp14:anchorId="281F7A1E" wp14:editId="55DC9DB7">
            <wp:extent cx="6858000" cy="3815080"/>
            <wp:effectExtent l="0" t="0" r="0" b="1397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85765297-0E69-4A7A-802B-E3CDA8ADD1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FC1C8B" w:rsidRDefault="00FC1C8B" w:rsidP="00C17C38">
      <w:pPr>
        <w:spacing w:after="0"/>
      </w:pPr>
    </w:p>
    <w:p w:rsidR="00BD68B1" w:rsidRDefault="00BD68B1" w:rsidP="00AE0232"/>
    <w:p w:rsidR="000278CD" w:rsidRDefault="000278CD" w:rsidP="000278CD">
      <w:pPr>
        <w:spacing w:after="0"/>
        <w:rPr>
          <w:b/>
          <w:sz w:val="32"/>
        </w:rPr>
      </w:pPr>
      <w:r>
        <w:rPr>
          <w:b/>
          <w:sz w:val="32"/>
        </w:rPr>
        <w:t>Jobs grew</w:t>
      </w:r>
      <w:r w:rsidRPr="00304302">
        <w:rPr>
          <w:b/>
          <w:sz w:val="32"/>
        </w:rPr>
        <w:t xml:space="preserve"> denser </w:t>
      </w:r>
      <w:r>
        <w:rPr>
          <w:b/>
          <w:sz w:val="32"/>
        </w:rPr>
        <w:t>in most parts of each metro area</w:t>
      </w:r>
    </w:p>
    <w:p w:rsidR="000278CD" w:rsidRDefault="000278CD" w:rsidP="000278CD">
      <w:r>
        <w:t>[Short explanatory t</w:t>
      </w:r>
      <w:r w:rsidRPr="00500D0F">
        <w:t>ext</w:t>
      </w:r>
      <w:r>
        <w:t>]</w:t>
      </w:r>
    </w:p>
    <w:p w:rsidR="00BD68B1" w:rsidRDefault="00BD68B1" w:rsidP="000278CD">
      <w:pPr>
        <w:spacing w:after="0"/>
        <w:rPr>
          <w:sz w:val="24"/>
        </w:rPr>
      </w:pPr>
    </w:p>
    <w:p w:rsidR="000278CD" w:rsidRPr="00E861F5" w:rsidRDefault="000278CD" w:rsidP="000278CD">
      <w:pPr>
        <w:spacing w:after="0"/>
        <w:rPr>
          <w:highlight w:val="yellow"/>
        </w:rPr>
      </w:pPr>
      <w:r w:rsidRPr="00E861F5">
        <w:rPr>
          <w:highlight w:val="yellow"/>
        </w:rPr>
        <w:t>Figure</w:t>
      </w:r>
      <w:r w:rsidR="0021203D">
        <w:rPr>
          <w:highlight w:val="yellow"/>
        </w:rPr>
        <w:t xml:space="preserve"> 6</w:t>
      </w:r>
      <w:r w:rsidR="007F12C1">
        <w:rPr>
          <w:highlight w:val="yellow"/>
        </w:rPr>
        <w:t>(A):</w:t>
      </w:r>
    </w:p>
    <w:p w:rsidR="000278CD" w:rsidRPr="006D4983" w:rsidRDefault="000278CD" w:rsidP="000278CD">
      <w:pPr>
        <w:spacing w:after="0"/>
      </w:pPr>
      <w:r w:rsidRPr="00E861F5">
        <w:rPr>
          <w:b/>
          <w:highlight w:val="yellow"/>
        </w:rPr>
        <w:t>ANNOTATION</w:t>
      </w:r>
      <w:r w:rsidRPr="00E861F5">
        <w:rPr>
          <w:b/>
        </w:rPr>
        <w:t>:</w:t>
      </w:r>
      <w:r>
        <w:rPr>
          <w:b/>
        </w:rPr>
        <w:t xml:space="preserve"> Much of the densification trends in metropolitan America has been driven by urban core areas, where at least 95% of the population live in urbanized areas. </w:t>
      </w:r>
    </w:p>
    <w:p w:rsidR="000278CD" w:rsidRDefault="001B16E4" w:rsidP="00E24D68">
      <w:pPr>
        <w:spacing w:after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427A7D" wp14:editId="04E5B55E">
            <wp:extent cx="6858000" cy="36576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901C1C" w:rsidRPr="00C3383A" w:rsidRDefault="00901C1C" w:rsidP="00E24D68">
      <w:pPr>
        <w:spacing w:after="0"/>
      </w:pPr>
    </w:p>
    <w:p w:rsidR="001B16E4" w:rsidRPr="00C3383A" w:rsidRDefault="001B16E4" w:rsidP="001B16E4">
      <w:pPr>
        <w:spacing w:after="0"/>
      </w:pPr>
      <w:r w:rsidRPr="00C3383A">
        <w:rPr>
          <w:highlight w:val="yellow"/>
        </w:rPr>
        <w:t>NB: Scrolling brings up second column of same chart:</w:t>
      </w:r>
    </w:p>
    <w:p w:rsidR="001B16E4" w:rsidRPr="00C3383A" w:rsidRDefault="001B16E4" w:rsidP="00E24D68">
      <w:pPr>
        <w:spacing w:after="0"/>
      </w:pPr>
    </w:p>
    <w:p w:rsidR="00BD68B1" w:rsidRDefault="00BD68B1" w:rsidP="00E24D68">
      <w:pPr>
        <w:spacing w:after="0"/>
      </w:pPr>
    </w:p>
    <w:p w:rsidR="008C4573" w:rsidRDefault="008C4573" w:rsidP="00E24D68">
      <w:pPr>
        <w:spacing w:after="0"/>
      </w:pPr>
    </w:p>
    <w:p w:rsidR="008C4573" w:rsidRDefault="008C4573" w:rsidP="00E24D68">
      <w:pPr>
        <w:spacing w:after="0"/>
      </w:pPr>
    </w:p>
    <w:p w:rsidR="008C4573" w:rsidRDefault="008C4573" w:rsidP="00E24D68">
      <w:pPr>
        <w:spacing w:after="0"/>
      </w:pPr>
    </w:p>
    <w:p w:rsidR="008C4573" w:rsidRDefault="008C4573" w:rsidP="00E24D68">
      <w:pPr>
        <w:spacing w:after="0"/>
      </w:pPr>
    </w:p>
    <w:p w:rsidR="008C4573" w:rsidRDefault="008C4573" w:rsidP="00E24D68">
      <w:pPr>
        <w:spacing w:after="0"/>
      </w:pPr>
    </w:p>
    <w:p w:rsidR="008C4573" w:rsidRPr="00C3383A" w:rsidRDefault="008C4573" w:rsidP="00E24D68">
      <w:pPr>
        <w:spacing w:after="0"/>
      </w:pPr>
    </w:p>
    <w:p w:rsidR="00901C1C" w:rsidRPr="00C3383A" w:rsidRDefault="007F12C1" w:rsidP="00E24D68">
      <w:pPr>
        <w:spacing w:after="0"/>
      </w:pPr>
      <w:r w:rsidRPr="00C3383A">
        <w:rPr>
          <w:highlight w:val="yellow"/>
        </w:rPr>
        <w:t xml:space="preserve">Figure </w:t>
      </w:r>
      <w:r w:rsidR="0021203D" w:rsidRPr="00C3383A">
        <w:rPr>
          <w:highlight w:val="yellow"/>
        </w:rPr>
        <w:t>6</w:t>
      </w:r>
      <w:r w:rsidR="00901C1C" w:rsidRPr="00C3383A">
        <w:rPr>
          <w:highlight w:val="yellow"/>
        </w:rPr>
        <w:t>(B)</w:t>
      </w:r>
    </w:p>
    <w:p w:rsidR="00E15833" w:rsidRPr="00C3383A" w:rsidRDefault="00E15833" w:rsidP="00E15833">
      <w:pPr>
        <w:spacing w:after="0"/>
      </w:pPr>
      <w:r w:rsidRPr="00C3383A">
        <w:rPr>
          <w:b/>
          <w:highlight w:val="yellow"/>
        </w:rPr>
        <w:t>ANNOTATION</w:t>
      </w:r>
      <w:r w:rsidRPr="00C3383A">
        <w:rPr>
          <w:b/>
        </w:rPr>
        <w:t xml:space="preserve">: Much of the densification trends in metropolitan America has been driven by urban core areas, where at least 95% of the population live in urbanized areas. </w:t>
      </w:r>
    </w:p>
    <w:p w:rsidR="000278CD" w:rsidRDefault="00E24D68" w:rsidP="000278CD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D85DD47" wp14:editId="57784384">
            <wp:extent cx="6858000" cy="3566160"/>
            <wp:effectExtent l="0" t="0" r="0" b="15240"/>
            <wp:docPr id="15" name="Chart 1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E861F5" w:rsidRDefault="00E861F5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Pr="00C3383A" w:rsidRDefault="00506E82" w:rsidP="0021203D">
      <w:pPr>
        <w:spacing w:after="0"/>
      </w:pPr>
    </w:p>
    <w:p w:rsidR="00841EB2" w:rsidRPr="00C3383A" w:rsidRDefault="00841EB2" w:rsidP="0021203D">
      <w:pPr>
        <w:spacing w:after="0"/>
      </w:pPr>
      <w:r w:rsidRPr="00C3383A">
        <w:rPr>
          <w:highlight w:val="yellow"/>
        </w:rPr>
        <w:t xml:space="preserve">Figure </w:t>
      </w:r>
      <w:r w:rsidR="0021203D" w:rsidRPr="00C3383A">
        <w:rPr>
          <w:highlight w:val="yellow"/>
        </w:rPr>
        <w:t>7(A)</w:t>
      </w:r>
      <w:r w:rsidR="00EF2529" w:rsidRPr="00C3383A">
        <w:t xml:space="preserve"> </w:t>
      </w:r>
    </w:p>
    <w:p w:rsidR="00841EB2" w:rsidRPr="00C3383A" w:rsidRDefault="00C17C38" w:rsidP="0021203D">
      <w:pPr>
        <w:spacing w:after="0"/>
      </w:pPr>
      <w:r w:rsidRPr="00C3383A">
        <w:rPr>
          <w:b/>
          <w:highlight w:val="yellow"/>
        </w:rPr>
        <w:t>ANNOTATION</w:t>
      </w:r>
      <w:r w:rsidRPr="00C3383A">
        <w:rPr>
          <w:b/>
        </w:rPr>
        <w:t xml:space="preserve">: </w:t>
      </w:r>
      <w:r w:rsidR="00C3383A">
        <w:rPr>
          <w:b/>
        </w:rPr>
        <w:t xml:space="preserve">However the densification trends are pretty widespread in emerging </w:t>
      </w:r>
      <w:r w:rsidR="00C3383A" w:rsidRPr="00C3383A">
        <w:rPr>
          <w:b/>
        </w:rPr>
        <w:t>suburbs as well</w:t>
      </w:r>
      <w:r w:rsidR="00C3383A">
        <w:rPr>
          <w:b/>
        </w:rPr>
        <w:t>. 39 out of 74 metro areas that have emerging suburbs saw an increase in job density of those areas between 2004 and 2015.</w:t>
      </w:r>
    </w:p>
    <w:p w:rsidR="00841EB2" w:rsidRDefault="00832066" w:rsidP="0021203D">
      <w:pPr>
        <w:spacing w:after="0"/>
      </w:pPr>
      <w:r>
        <w:rPr>
          <w:noProof/>
        </w:rPr>
        <w:drawing>
          <wp:inline distT="0" distB="0" distL="0" distR="0" wp14:anchorId="7CECB2DC" wp14:editId="15D30EFC">
            <wp:extent cx="6858000" cy="3657600"/>
            <wp:effectExtent l="0" t="0" r="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07F808FC-F51E-4256-B677-F8A6266B2D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AF1DF0" w:rsidRPr="00C3383A" w:rsidRDefault="00AF1DF0" w:rsidP="00AF1DF0">
      <w:pPr>
        <w:spacing w:after="0"/>
      </w:pPr>
      <w:r w:rsidRPr="00C3383A">
        <w:rPr>
          <w:highlight w:val="yellow"/>
        </w:rPr>
        <w:t xml:space="preserve">NB: Scrolling brings up second </w:t>
      </w:r>
      <w:r>
        <w:rPr>
          <w:highlight w:val="yellow"/>
        </w:rPr>
        <w:t>bar</w:t>
      </w:r>
      <w:r w:rsidRPr="00C3383A">
        <w:rPr>
          <w:highlight w:val="yellow"/>
        </w:rPr>
        <w:t xml:space="preserve"> of same chart:</w:t>
      </w:r>
    </w:p>
    <w:p w:rsidR="00506E82" w:rsidRDefault="00506E82" w:rsidP="0021203D">
      <w:pPr>
        <w:spacing w:after="0"/>
      </w:pPr>
      <w:bookmarkStart w:id="0" w:name="_GoBack"/>
      <w:bookmarkEnd w:id="0"/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506E82" w:rsidRDefault="00506E82" w:rsidP="0021203D">
      <w:pPr>
        <w:spacing w:after="0"/>
      </w:pPr>
    </w:p>
    <w:p w:rsidR="00E0268A" w:rsidRPr="00C3383A" w:rsidRDefault="0021203D" w:rsidP="0021203D">
      <w:pPr>
        <w:spacing w:after="0"/>
      </w:pPr>
      <w:r w:rsidRPr="00C3383A">
        <w:t>Figure 7(B)</w:t>
      </w:r>
    </w:p>
    <w:p w:rsidR="00C17C38" w:rsidRPr="00C3383A" w:rsidRDefault="00C17C38" w:rsidP="0021203D">
      <w:pPr>
        <w:spacing w:after="0"/>
        <w:rPr>
          <w:b/>
        </w:rPr>
      </w:pPr>
      <w:r w:rsidRPr="00C3383A">
        <w:rPr>
          <w:b/>
          <w:highlight w:val="yellow"/>
        </w:rPr>
        <w:t>ANNOTATION</w:t>
      </w:r>
      <w:r w:rsidRPr="00C3383A">
        <w:rPr>
          <w:b/>
        </w:rPr>
        <w:t>:</w:t>
      </w:r>
      <w:r w:rsidR="00C3383A" w:rsidRPr="00C3383A">
        <w:rPr>
          <w:b/>
        </w:rPr>
        <w:t xml:space="preserve"> </w:t>
      </w:r>
      <w:r w:rsidR="00C3383A">
        <w:rPr>
          <w:b/>
        </w:rPr>
        <w:t xml:space="preserve">While majority of the areas saw a less increase in job density than would be expected, about 30% of metro areas that have urban core or emerging suburban counties saw a greater </w:t>
      </w:r>
      <w:r w:rsidR="00D11C58">
        <w:rPr>
          <w:b/>
        </w:rPr>
        <w:t>increase in job density</w:t>
      </w:r>
    </w:p>
    <w:p w:rsidR="00AA3ACD" w:rsidRDefault="00832066" w:rsidP="0021203D">
      <w:pPr>
        <w:spacing w:after="0"/>
        <w:rPr>
          <w:sz w:val="24"/>
        </w:rPr>
      </w:pPr>
      <w:r>
        <w:rPr>
          <w:noProof/>
        </w:rPr>
        <w:drawing>
          <wp:inline distT="0" distB="0" distL="0" distR="0" wp14:anchorId="465EC16A" wp14:editId="6015ED61">
            <wp:extent cx="6858000" cy="3657600"/>
            <wp:effectExtent l="0" t="0" r="0" b="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07F808FC-F51E-4256-B677-F8A6266B2D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C17C38" w:rsidRDefault="00C17C38" w:rsidP="00E0268A">
      <w:pPr>
        <w:pBdr>
          <w:bottom w:val="single" w:sz="6" w:space="1" w:color="auto"/>
        </w:pBdr>
        <w:spacing w:after="0"/>
        <w:rPr>
          <w:sz w:val="24"/>
        </w:rPr>
      </w:pPr>
    </w:p>
    <w:p w:rsidR="00C17C38" w:rsidRDefault="00C17C38" w:rsidP="00E0268A">
      <w:pPr>
        <w:pBdr>
          <w:bottom w:val="single" w:sz="6" w:space="1" w:color="auto"/>
        </w:pBdr>
        <w:spacing w:after="0"/>
        <w:rPr>
          <w:sz w:val="24"/>
        </w:rPr>
      </w:pPr>
    </w:p>
    <w:p w:rsidR="00841EB2" w:rsidRDefault="00841EB2" w:rsidP="00EB4CD8">
      <w:pPr>
        <w:pBdr>
          <w:bottom w:val="single" w:sz="6" w:space="1" w:color="auto"/>
        </w:pBdr>
        <w:spacing w:after="0"/>
        <w:rPr>
          <w:sz w:val="24"/>
        </w:rPr>
      </w:pPr>
    </w:p>
    <w:p w:rsidR="004F0E20" w:rsidRDefault="004F0E20" w:rsidP="00EB4CD8">
      <w:pPr>
        <w:spacing w:after="0"/>
        <w:rPr>
          <w:sz w:val="24"/>
        </w:rPr>
      </w:pPr>
    </w:p>
    <w:p w:rsidR="004F0E20" w:rsidRDefault="004F0E20" w:rsidP="00EB4CD8">
      <w:pPr>
        <w:spacing w:after="0"/>
        <w:rPr>
          <w:sz w:val="24"/>
        </w:rPr>
      </w:pPr>
      <w:r>
        <w:rPr>
          <w:sz w:val="24"/>
        </w:rPr>
        <w:t>[Summary text]</w:t>
      </w:r>
    </w:p>
    <w:p w:rsidR="00AE0232" w:rsidRDefault="00AE0232" w:rsidP="00EB4CD8">
      <w:pPr>
        <w:pBdr>
          <w:bottom w:val="single" w:sz="6" w:space="1" w:color="auto"/>
        </w:pBdr>
        <w:spacing w:after="0"/>
        <w:rPr>
          <w:sz w:val="24"/>
        </w:rPr>
      </w:pPr>
    </w:p>
    <w:p w:rsidR="007F12C1" w:rsidRDefault="007F12C1" w:rsidP="00EB4CD8">
      <w:pPr>
        <w:pBdr>
          <w:bottom w:val="single" w:sz="6" w:space="1" w:color="auto"/>
        </w:pBdr>
        <w:spacing w:after="0"/>
        <w:rPr>
          <w:sz w:val="24"/>
        </w:rPr>
      </w:pPr>
    </w:p>
    <w:p w:rsidR="007F12C1" w:rsidRDefault="007F12C1" w:rsidP="00EB4CD8">
      <w:pPr>
        <w:pBdr>
          <w:bottom w:val="single" w:sz="6" w:space="1" w:color="auto"/>
        </w:pBdr>
        <w:spacing w:after="0"/>
        <w:rPr>
          <w:sz w:val="24"/>
        </w:rPr>
      </w:pPr>
    </w:p>
    <w:p w:rsidR="00AE0232" w:rsidRDefault="00AE0232" w:rsidP="00EB4CD8">
      <w:pPr>
        <w:pBdr>
          <w:bottom w:val="single" w:sz="6" w:space="1" w:color="auto"/>
        </w:pBdr>
        <w:spacing w:after="0"/>
        <w:rPr>
          <w:sz w:val="24"/>
        </w:rPr>
      </w:pPr>
    </w:p>
    <w:p w:rsidR="00211048" w:rsidRDefault="00211048" w:rsidP="00EB4CD8">
      <w:pPr>
        <w:pBdr>
          <w:bottom w:val="single" w:sz="6" w:space="1" w:color="auto"/>
        </w:pBdr>
        <w:spacing w:after="0"/>
        <w:rPr>
          <w:sz w:val="24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506E82" w:rsidRDefault="00506E82" w:rsidP="00D912B3">
      <w:pPr>
        <w:spacing w:after="0"/>
        <w:jc w:val="center"/>
        <w:rPr>
          <w:b/>
          <w:sz w:val="32"/>
        </w:rPr>
      </w:pPr>
    </w:p>
    <w:p w:rsidR="00AE0232" w:rsidRDefault="00D912B3" w:rsidP="00D912B3">
      <w:pPr>
        <w:spacing w:after="0"/>
        <w:jc w:val="center"/>
        <w:rPr>
          <w:b/>
          <w:sz w:val="32"/>
        </w:rPr>
      </w:pPr>
      <w:r w:rsidRPr="000E0826">
        <w:rPr>
          <w:b/>
          <w:sz w:val="32"/>
        </w:rPr>
        <w:t xml:space="preserve">What </w:t>
      </w:r>
      <w:r w:rsidR="00AE0232">
        <w:rPr>
          <w:b/>
          <w:sz w:val="32"/>
        </w:rPr>
        <w:t>do</w:t>
      </w:r>
      <w:r w:rsidRPr="000E0826">
        <w:rPr>
          <w:b/>
          <w:sz w:val="32"/>
        </w:rPr>
        <w:t xml:space="preserve"> job density trends </w:t>
      </w:r>
      <w:r w:rsidR="00AE0232">
        <w:rPr>
          <w:b/>
          <w:sz w:val="32"/>
        </w:rPr>
        <w:t>look like in</w:t>
      </w:r>
      <w:r w:rsidRPr="000E0826">
        <w:rPr>
          <w:b/>
          <w:sz w:val="32"/>
        </w:rPr>
        <w:t xml:space="preserve"> </w:t>
      </w:r>
      <w:r w:rsidR="009708B9">
        <w:rPr>
          <w:b/>
          <w:sz w:val="32"/>
        </w:rPr>
        <w:t>your</w:t>
      </w:r>
      <w:r w:rsidRPr="000E0826">
        <w:rPr>
          <w:b/>
          <w:sz w:val="32"/>
        </w:rPr>
        <w:t xml:space="preserve"> metro area?</w:t>
      </w:r>
    </w:p>
    <w:p w:rsidR="00D347D1" w:rsidRPr="000E0826" w:rsidRDefault="00211048" w:rsidP="00D912B3">
      <w:pPr>
        <w:spacing w:after="0"/>
        <w:jc w:val="center"/>
        <w:rPr>
          <w:sz w:val="32"/>
        </w:rPr>
      </w:pPr>
      <w:r w:rsidRPr="00211048">
        <w:rPr>
          <w:sz w:val="28"/>
        </w:rPr>
        <w:t>(Dashboard)</w:t>
      </w:r>
    </w:p>
    <w:p w:rsidR="00211048" w:rsidRDefault="00211048" w:rsidP="00700425">
      <w:pPr>
        <w:rPr>
          <w:b/>
        </w:rPr>
      </w:pPr>
    </w:p>
    <w:p w:rsidR="00700425" w:rsidRDefault="00700425" w:rsidP="00700425">
      <w:pPr>
        <w:rPr>
          <w:b/>
        </w:rPr>
      </w:pPr>
      <w:r>
        <w:rPr>
          <w:b/>
          <w:noProof/>
        </w:rPr>
        <w:drawing>
          <wp:inline distT="0" distB="0" distL="0" distR="0" wp14:anchorId="63348727" wp14:editId="7131D43B">
            <wp:extent cx="2703443" cy="408089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91"/>
                    <a:stretch/>
                  </pic:blipFill>
                  <pic:spPr bwMode="auto">
                    <a:xfrm>
                      <a:off x="0" y="0"/>
                      <a:ext cx="2893673" cy="43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048" w:rsidRDefault="00211048" w:rsidP="00700425">
      <w:pPr>
        <w:rPr>
          <w:b/>
          <w:sz w:val="24"/>
        </w:rPr>
      </w:pPr>
    </w:p>
    <w:p w:rsidR="00D912B3" w:rsidRPr="006D4983" w:rsidRDefault="00D912B3" w:rsidP="00700425">
      <w:pPr>
        <w:rPr>
          <w:b/>
          <w:sz w:val="24"/>
        </w:rPr>
      </w:pPr>
      <w:r w:rsidRPr="006D4983">
        <w:rPr>
          <w:b/>
          <w:sz w:val="24"/>
        </w:rPr>
        <w:t>Baltimore-Columbia-Towson, MD</w:t>
      </w:r>
    </w:p>
    <w:p w:rsidR="0043606B" w:rsidRPr="00211048" w:rsidRDefault="00701010" w:rsidP="00701010">
      <w:pPr>
        <w:spacing w:after="0"/>
        <w:rPr>
          <w:b/>
          <w:sz w:val="24"/>
        </w:rPr>
      </w:pPr>
      <w:r w:rsidRPr="00211048">
        <w:rPr>
          <w:b/>
          <w:sz w:val="24"/>
        </w:rPr>
        <w:t>Trends in job density</w:t>
      </w:r>
      <w:r w:rsidR="00E96D4F" w:rsidRPr="00211048">
        <w:rPr>
          <w:b/>
          <w:sz w:val="24"/>
        </w:rPr>
        <w:t xml:space="preserve"> in the Baltimore metro, 2004-2015</w:t>
      </w:r>
    </w:p>
    <w:p w:rsidR="00D347D1" w:rsidRDefault="00E15833" w:rsidP="00D347D1">
      <w:r>
        <w:rPr>
          <w:noProof/>
        </w:rPr>
        <w:drawing>
          <wp:inline distT="0" distB="0" distL="0" distR="0" wp14:anchorId="3C60DB43" wp14:editId="62E5F767">
            <wp:extent cx="6858000" cy="3611880"/>
            <wp:effectExtent l="0" t="0" r="0" b="762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2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211048" w:rsidRDefault="00211048" w:rsidP="0043606B">
      <w:pPr>
        <w:spacing w:after="0"/>
        <w:rPr>
          <w:b/>
        </w:rPr>
      </w:pPr>
    </w:p>
    <w:p w:rsidR="00211048" w:rsidRDefault="00211048" w:rsidP="0043606B">
      <w:pPr>
        <w:spacing w:after="0"/>
        <w:rPr>
          <w:b/>
        </w:rPr>
      </w:pPr>
    </w:p>
    <w:p w:rsidR="0043606B" w:rsidRPr="00211048" w:rsidRDefault="00701010" w:rsidP="0043606B">
      <w:pPr>
        <w:spacing w:after="0"/>
        <w:rPr>
          <w:b/>
          <w:sz w:val="24"/>
        </w:rPr>
      </w:pPr>
      <w:r w:rsidRPr="00211048">
        <w:rPr>
          <w:b/>
          <w:sz w:val="24"/>
        </w:rPr>
        <w:t xml:space="preserve">Trends in </w:t>
      </w:r>
      <w:r w:rsidR="004F0E20" w:rsidRPr="00211048">
        <w:rPr>
          <w:b/>
          <w:sz w:val="24"/>
        </w:rPr>
        <w:t>Baltimore’s</w:t>
      </w:r>
      <w:r w:rsidRPr="00211048">
        <w:rPr>
          <w:b/>
          <w:sz w:val="24"/>
        </w:rPr>
        <w:t xml:space="preserve"> job density by ind</w:t>
      </w:r>
      <w:r w:rsidR="004E11A0">
        <w:rPr>
          <w:b/>
          <w:sz w:val="24"/>
        </w:rPr>
        <w:t>us</w:t>
      </w:r>
      <w:r w:rsidRPr="00211048">
        <w:rPr>
          <w:b/>
          <w:sz w:val="24"/>
        </w:rPr>
        <w:t>try</w:t>
      </w:r>
    </w:p>
    <w:p w:rsidR="00D347D1" w:rsidRDefault="00E15833" w:rsidP="00D347D1">
      <w:r>
        <w:rPr>
          <w:noProof/>
        </w:rPr>
        <w:drawing>
          <wp:inline distT="0" distB="0" distL="0" distR="0" wp14:anchorId="48FD24C3" wp14:editId="47C77B71">
            <wp:extent cx="6858000" cy="3657600"/>
            <wp:effectExtent l="0" t="0" r="0" b="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211048" w:rsidRDefault="00211048" w:rsidP="0043606B">
      <w:pPr>
        <w:spacing w:after="0"/>
        <w:rPr>
          <w:b/>
        </w:rPr>
      </w:pPr>
    </w:p>
    <w:p w:rsidR="00211048" w:rsidRDefault="00211048" w:rsidP="0043606B">
      <w:pPr>
        <w:spacing w:after="0"/>
        <w:rPr>
          <w:b/>
        </w:rPr>
      </w:pPr>
    </w:p>
    <w:p w:rsidR="008574CD" w:rsidRDefault="008574CD" w:rsidP="0043606B">
      <w:pPr>
        <w:spacing w:after="0"/>
        <w:rPr>
          <w:b/>
        </w:rPr>
      </w:pPr>
    </w:p>
    <w:p w:rsidR="008574CD" w:rsidRDefault="008574CD" w:rsidP="0043606B">
      <w:pPr>
        <w:spacing w:after="0"/>
        <w:rPr>
          <w:b/>
        </w:rPr>
      </w:pPr>
    </w:p>
    <w:p w:rsidR="008574CD" w:rsidRDefault="008574CD" w:rsidP="0043606B">
      <w:pPr>
        <w:spacing w:after="0"/>
        <w:rPr>
          <w:b/>
        </w:rPr>
      </w:pPr>
    </w:p>
    <w:p w:rsidR="008574CD" w:rsidRDefault="008574CD" w:rsidP="0043606B">
      <w:pPr>
        <w:spacing w:after="0"/>
        <w:rPr>
          <w:b/>
        </w:rPr>
      </w:pPr>
    </w:p>
    <w:p w:rsidR="008574CD" w:rsidRDefault="008574CD" w:rsidP="0043606B">
      <w:pPr>
        <w:spacing w:after="0"/>
        <w:rPr>
          <w:b/>
        </w:rPr>
      </w:pPr>
    </w:p>
    <w:p w:rsidR="008574CD" w:rsidRDefault="008574CD" w:rsidP="0043606B">
      <w:pPr>
        <w:spacing w:after="0"/>
        <w:rPr>
          <w:b/>
        </w:rPr>
      </w:pPr>
    </w:p>
    <w:p w:rsidR="00D347D1" w:rsidRPr="00211048" w:rsidRDefault="006D4983" w:rsidP="0043606B">
      <w:pPr>
        <w:spacing w:after="0"/>
        <w:rPr>
          <w:b/>
          <w:sz w:val="24"/>
        </w:rPr>
      </w:pPr>
      <w:r w:rsidRPr="00211048">
        <w:rPr>
          <w:b/>
          <w:sz w:val="24"/>
        </w:rPr>
        <w:t>Densification trends</w:t>
      </w:r>
      <w:r w:rsidR="00211048" w:rsidRPr="00211048">
        <w:rPr>
          <w:b/>
          <w:sz w:val="24"/>
        </w:rPr>
        <w:t xml:space="preserve"> in metro Baltimore by</w:t>
      </w:r>
      <w:r w:rsidRPr="00211048">
        <w:rPr>
          <w:b/>
          <w:sz w:val="24"/>
        </w:rPr>
        <w:t xml:space="preserve"> </w:t>
      </w:r>
      <w:r w:rsidR="00211048" w:rsidRPr="00211048">
        <w:rPr>
          <w:b/>
          <w:sz w:val="24"/>
        </w:rPr>
        <w:t xml:space="preserve">county and </w:t>
      </w:r>
      <w:r w:rsidRPr="00211048">
        <w:rPr>
          <w:b/>
          <w:sz w:val="24"/>
        </w:rPr>
        <w:t>county’s urbanization rate</w:t>
      </w:r>
    </w:p>
    <w:p w:rsidR="00D347D1" w:rsidRDefault="00E15833" w:rsidP="00D347D1">
      <w:r>
        <w:rPr>
          <w:noProof/>
        </w:rPr>
        <w:drawing>
          <wp:inline distT="0" distB="0" distL="0" distR="0" wp14:anchorId="311E9381" wp14:editId="0A18AFE4">
            <wp:extent cx="6858000" cy="3657600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6D6C5C37-3E02-42A0-9452-036C1E35BD9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9708B9" w:rsidRDefault="009708B9" w:rsidP="00E262B7">
      <w:pPr>
        <w:pBdr>
          <w:bottom w:val="single" w:sz="6" w:space="1" w:color="auto"/>
        </w:pBdr>
      </w:pPr>
    </w:p>
    <w:p w:rsidR="009708B9" w:rsidRDefault="009708B9" w:rsidP="00E262B7"/>
    <w:p w:rsidR="009708B9" w:rsidRDefault="009708B9" w:rsidP="00E262B7"/>
    <w:p w:rsidR="009708B9" w:rsidRDefault="009708B9" w:rsidP="00E262B7"/>
    <w:sectPr w:rsidR="009708B9" w:rsidSect="00AE0232">
      <w:type w:val="continuous"/>
      <w:pgSz w:w="12240" w:h="20160" w:code="5"/>
      <w:pgMar w:top="720" w:right="720" w:bottom="720" w:left="720" w:header="720" w:footer="720" w:gutter="0"/>
      <w:paperSrc w:first="258" w:other="25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F1E" w:rsidRDefault="00CA0F1E" w:rsidP="00821ABB">
      <w:pPr>
        <w:spacing w:after="0" w:line="240" w:lineRule="auto"/>
      </w:pPr>
      <w:r>
        <w:separator/>
      </w:r>
    </w:p>
  </w:endnote>
  <w:endnote w:type="continuationSeparator" w:id="0">
    <w:p w:rsidR="00CA0F1E" w:rsidRDefault="00CA0F1E" w:rsidP="00821A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51138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B0B79" w:rsidRDefault="004B0B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2066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4B0B79" w:rsidRDefault="004B0B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F1E" w:rsidRDefault="00CA0F1E" w:rsidP="00821ABB">
      <w:pPr>
        <w:spacing w:after="0" w:line="240" w:lineRule="auto"/>
      </w:pPr>
      <w:r>
        <w:separator/>
      </w:r>
    </w:p>
  </w:footnote>
  <w:footnote w:type="continuationSeparator" w:id="0">
    <w:p w:rsidR="00CA0F1E" w:rsidRDefault="00CA0F1E" w:rsidP="00821A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D0370D"/>
    <w:multiLevelType w:val="hybridMultilevel"/>
    <w:tmpl w:val="AF20C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2F17AB"/>
    <w:multiLevelType w:val="hybridMultilevel"/>
    <w:tmpl w:val="FC2A8CE0"/>
    <w:lvl w:ilvl="0" w:tplc="09404094">
      <w:start w:val="94"/>
      <w:numFmt w:val="bullet"/>
      <w:lvlText w:val=""/>
      <w:lvlJc w:val="left"/>
      <w:pPr>
        <w:ind w:left="405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77F94AC4"/>
    <w:multiLevelType w:val="hybridMultilevel"/>
    <w:tmpl w:val="74626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58"/>
    <w:rsid w:val="00016A0D"/>
    <w:rsid w:val="000220BE"/>
    <w:rsid w:val="000278CD"/>
    <w:rsid w:val="00067511"/>
    <w:rsid w:val="00093645"/>
    <w:rsid w:val="000B55B9"/>
    <w:rsid w:val="000C23A9"/>
    <w:rsid w:val="000E0826"/>
    <w:rsid w:val="00135913"/>
    <w:rsid w:val="001359E9"/>
    <w:rsid w:val="0013738C"/>
    <w:rsid w:val="00170832"/>
    <w:rsid w:val="00185B72"/>
    <w:rsid w:val="001B16E4"/>
    <w:rsid w:val="001D2F45"/>
    <w:rsid w:val="001E4ACD"/>
    <w:rsid w:val="001E4C72"/>
    <w:rsid w:val="00211048"/>
    <w:rsid w:val="0021203D"/>
    <w:rsid w:val="00245BDF"/>
    <w:rsid w:val="00270E66"/>
    <w:rsid w:val="00273933"/>
    <w:rsid w:val="00274D0F"/>
    <w:rsid w:val="00280B85"/>
    <w:rsid w:val="002A3D56"/>
    <w:rsid w:val="002B4D52"/>
    <w:rsid w:val="002B4F2A"/>
    <w:rsid w:val="002F6456"/>
    <w:rsid w:val="002F6C11"/>
    <w:rsid w:val="00304302"/>
    <w:rsid w:val="003252C6"/>
    <w:rsid w:val="00365FB7"/>
    <w:rsid w:val="00366516"/>
    <w:rsid w:val="00387265"/>
    <w:rsid w:val="0039152B"/>
    <w:rsid w:val="003A736E"/>
    <w:rsid w:val="003C2F78"/>
    <w:rsid w:val="003C3D43"/>
    <w:rsid w:val="003C6C2D"/>
    <w:rsid w:val="003F0C58"/>
    <w:rsid w:val="003F7A15"/>
    <w:rsid w:val="00401BB2"/>
    <w:rsid w:val="00410B7E"/>
    <w:rsid w:val="00415186"/>
    <w:rsid w:val="0043606B"/>
    <w:rsid w:val="0045030F"/>
    <w:rsid w:val="0046573E"/>
    <w:rsid w:val="00494DAD"/>
    <w:rsid w:val="004A5354"/>
    <w:rsid w:val="004B0B79"/>
    <w:rsid w:val="004B41FC"/>
    <w:rsid w:val="004C714A"/>
    <w:rsid w:val="004D12DD"/>
    <w:rsid w:val="004E11A0"/>
    <w:rsid w:val="004E1269"/>
    <w:rsid w:val="004F0E20"/>
    <w:rsid w:val="00500D0F"/>
    <w:rsid w:val="005036CB"/>
    <w:rsid w:val="00506E82"/>
    <w:rsid w:val="005313D2"/>
    <w:rsid w:val="00540D8E"/>
    <w:rsid w:val="00560D44"/>
    <w:rsid w:val="00563B5E"/>
    <w:rsid w:val="005800EB"/>
    <w:rsid w:val="005B7428"/>
    <w:rsid w:val="005D7852"/>
    <w:rsid w:val="00606811"/>
    <w:rsid w:val="00612326"/>
    <w:rsid w:val="00627B1E"/>
    <w:rsid w:val="00637812"/>
    <w:rsid w:val="006451A7"/>
    <w:rsid w:val="00647731"/>
    <w:rsid w:val="006477DE"/>
    <w:rsid w:val="006B766D"/>
    <w:rsid w:val="006B7C97"/>
    <w:rsid w:val="006D4983"/>
    <w:rsid w:val="006E539A"/>
    <w:rsid w:val="006E74B9"/>
    <w:rsid w:val="00700425"/>
    <w:rsid w:val="00701010"/>
    <w:rsid w:val="00704E6E"/>
    <w:rsid w:val="00705B0D"/>
    <w:rsid w:val="00706BC3"/>
    <w:rsid w:val="00744C01"/>
    <w:rsid w:val="00784D1C"/>
    <w:rsid w:val="007C45DC"/>
    <w:rsid w:val="007E61B5"/>
    <w:rsid w:val="007F12C1"/>
    <w:rsid w:val="00821ABB"/>
    <w:rsid w:val="00824D92"/>
    <w:rsid w:val="00832066"/>
    <w:rsid w:val="00836DEC"/>
    <w:rsid w:val="00841EB2"/>
    <w:rsid w:val="0084574F"/>
    <w:rsid w:val="008574CD"/>
    <w:rsid w:val="008740D3"/>
    <w:rsid w:val="008A3774"/>
    <w:rsid w:val="008A515A"/>
    <w:rsid w:val="008A5FB6"/>
    <w:rsid w:val="008C4573"/>
    <w:rsid w:val="008C70EE"/>
    <w:rsid w:val="008D7750"/>
    <w:rsid w:val="00901C1C"/>
    <w:rsid w:val="0091085A"/>
    <w:rsid w:val="009159D6"/>
    <w:rsid w:val="00916657"/>
    <w:rsid w:val="00952106"/>
    <w:rsid w:val="009539D6"/>
    <w:rsid w:val="00965EF5"/>
    <w:rsid w:val="00965F24"/>
    <w:rsid w:val="009708B9"/>
    <w:rsid w:val="00971320"/>
    <w:rsid w:val="00973890"/>
    <w:rsid w:val="0097692E"/>
    <w:rsid w:val="009A0586"/>
    <w:rsid w:val="009C5BF0"/>
    <w:rsid w:val="009C72BE"/>
    <w:rsid w:val="009E12A8"/>
    <w:rsid w:val="009F0C6B"/>
    <w:rsid w:val="009F1338"/>
    <w:rsid w:val="00A4471A"/>
    <w:rsid w:val="00A52551"/>
    <w:rsid w:val="00A83425"/>
    <w:rsid w:val="00A94F0B"/>
    <w:rsid w:val="00AA3ACD"/>
    <w:rsid w:val="00AA41D3"/>
    <w:rsid w:val="00AA6128"/>
    <w:rsid w:val="00AC7267"/>
    <w:rsid w:val="00AD09C0"/>
    <w:rsid w:val="00AD4E73"/>
    <w:rsid w:val="00AE0232"/>
    <w:rsid w:val="00AF1756"/>
    <w:rsid w:val="00AF1DF0"/>
    <w:rsid w:val="00AF3A77"/>
    <w:rsid w:val="00B12CFD"/>
    <w:rsid w:val="00B30E26"/>
    <w:rsid w:val="00B40A38"/>
    <w:rsid w:val="00B57183"/>
    <w:rsid w:val="00B80618"/>
    <w:rsid w:val="00B966E8"/>
    <w:rsid w:val="00B975F0"/>
    <w:rsid w:val="00BC663E"/>
    <w:rsid w:val="00BD61A1"/>
    <w:rsid w:val="00BD68B1"/>
    <w:rsid w:val="00BE33FA"/>
    <w:rsid w:val="00C02D0F"/>
    <w:rsid w:val="00C10042"/>
    <w:rsid w:val="00C17C38"/>
    <w:rsid w:val="00C20C7D"/>
    <w:rsid w:val="00C21811"/>
    <w:rsid w:val="00C24268"/>
    <w:rsid w:val="00C3383A"/>
    <w:rsid w:val="00C441DF"/>
    <w:rsid w:val="00C573DF"/>
    <w:rsid w:val="00C814D8"/>
    <w:rsid w:val="00CA0F1E"/>
    <w:rsid w:val="00D066DF"/>
    <w:rsid w:val="00D11C58"/>
    <w:rsid w:val="00D347D1"/>
    <w:rsid w:val="00D90A61"/>
    <w:rsid w:val="00D912B3"/>
    <w:rsid w:val="00D91767"/>
    <w:rsid w:val="00DB544F"/>
    <w:rsid w:val="00DE0320"/>
    <w:rsid w:val="00DF2E95"/>
    <w:rsid w:val="00E0268A"/>
    <w:rsid w:val="00E05CF6"/>
    <w:rsid w:val="00E15833"/>
    <w:rsid w:val="00E24D68"/>
    <w:rsid w:val="00E262B7"/>
    <w:rsid w:val="00E26991"/>
    <w:rsid w:val="00E32A16"/>
    <w:rsid w:val="00E7695A"/>
    <w:rsid w:val="00E83265"/>
    <w:rsid w:val="00E861F5"/>
    <w:rsid w:val="00E96D4F"/>
    <w:rsid w:val="00EB4CD8"/>
    <w:rsid w:val="00EF2529"/>
    <w:rsid w:val="00F24514"/>
    <w:rsid w:val="00F55290"/>
    <w:rsid w:val="00F87AD7"/>
    <w:rsid w:val="00F917FE"/>
    <w:rsid w:val="00FB21CA"/>
    <w:rsid w:val="00FC1C8B"/>
    <w:rsid w:val="00FD4041"/>
    <w:rsid w:val="00FF49CC"/>
    <w:rsid w:val="00FF7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CDA06959-1A72-4CA2-9079-2365ECF69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25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9A0586"/>
  </w:style>
  <w:style w:type="character" w:customStyle="1" w:styleId="DateChar">
    <w:name w:val="Date Char"/>
    <w:basedOn w:val="DefaultParagraphFont"/>
    <w:link w:val="Date"/>
    <w:uiPriority w:val="99"/>
    <w:semiHidden/>
    <w:rsid w:val="009A0586"/>
  </w:style>
  <w:style w:type="paragraph" w:styleId="ListParagraph">
    <w:name w:val="List Paragraph"/>
    <w:basedOn w:val="Normal"/>
    <w:uiPriority w:val="34"/>
    <w:qFormat/>
    <w:rsid w:val="009A0586"/>
    <w:pPr>
      <w:ind w:left="720"/>
      <w:contextualSpacing/>
    </w:pPr>
  </w:style>
  <w:style w:type="table" w:styleId="TableGrid">
    <w:name w:val="Table Grid"/>
    <w:basedOn w:val="TableNormal"/>
    <w:uiPriority w:val="39"/>
    <w:rsid w:val="009A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393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21A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ABB"/>
  </w:style>
  <w:style w:type="paragraph" w:styleId="Footer">
    <w:name w:val="footer"/>
    <w:basedOn w:val="Normal"/>
    <w:link w:val="FooterChar"/>
    <w:uiPriority w:val="99"/>
    <w:unhideWhenUsed/>
    <w:rsid w:val="00821A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ABB"/>
  </w:style>
  <w:style w:type="paragraph" w:styleId="BalloonText">
    <w:name w:val="Balloon Text"/>
    <w:basedOn w:val="Normal"/>
    <w:link w:val="BalloonTextChar"/>
    <w:uiPriority w:val="99"/>
    <w:semiHidden/>
    <w:unhideWhenUsed/>
    <w:rsid w:val="003872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7265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036C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4302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C6C2D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F49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49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49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49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49CC"/>
    <w:rPr>
      <w:b/>
      <w:bCs/>
      <w:sz w:val="20"/>
      <w:szCs w:val="20"/>
    </w:rPr>
  </w:style>
  <w:style w:type="paragraph" w:styleId="NoSpacing">
    <w:name w:val="No Spacing"/>
    <w:uiPriority w:val="1"/>
    <w:qFormat/>
    <w:rsid w:val="00AE023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s.urban.org/features/baltimore-investment-flows/" TargetMode="External"/><Relationship Id="rId13" Type="http://schemas.openxmlformats.org/officeDocument/2006/relationships/chart" Target="charts/chart4.xml"/><Relationship Id="rId18" Type="http://schemas.openxmlformats.org/officeDocument/2006/relationships/chart" Target="charts/chart9.xml"/><Relationship Id="rId26" Type="http://schemas.openxmlformats.org/officeDocument/2006/relationships/chart" Target="charts/chart16.xml"/><Relationship Id="rId3" Type="http://schemas.openxmlformats.org/officeDocument/2006/relationships/styles" Target="styles.xml"/><Relationship Id="rId21" Type="http://schemas.openxmlformats.org/officeDocument/2006/relationships/chart" Target="charts/chart12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chart" Target="charts/chart8.xml"/><Relationship Id="rId25" Type="http://schemas.openxmlformats.org/officeDocument/2006/relationships/chart" Target="charts/chart15.xml"/><Relationship Id="rId2" Type="http://schemas.openxmlformats.org/officeDocument/2006/relationships/numbering" Target="numbering.xml"/><Relationship Id="rId16" Type="http://schemas.openxmlformats.org/officeDocument/2006/relationships/chart" Target="charts/chart7.xml"/><Relationship Id="rId20" Type="http://schemas.openxmlformats.org/officeDocument/2006/relationships/chart" Target="charts/chart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3.xml"/><Relationship Id="rId24" Type="http://schemas.openxmlformats.org/officeDocument/2006/relationships/chart" Target="charts/chart14.xml"/><Relationship Id="rId5" Type="http://schemas.openxmlformats.org/officeDocument/2006/relationships/webSettings" Target="webSettings.xml"/><Relationship Id="rId15" Type="http://schemas.openxmlformats.org/officeDocument/2006/relationships/chart" Target="charts/chart6.xml"/><Relationship Id="rId23" Type="http://schemas.openxmlformats.org/officeDocument/2006/relationships/image" Target="media/image1.png"/><Relationship Id="rId28" Type="http://schemas.openxmlformats.org/officeDocument/2006/relationships/theme" Target="theme/theme1.xml"/><Relationship Id="rId10" Type="http://schemas.openxmlformats.org/officeDocument/2006/relationships/chart" Target="charts/chart2.xml"/><Relationship Id="rId19" Type="http://schemas.openxmlformats.org/officeDocument/2006/relationships/chart" Target="charts/chart10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chart" Target="charts/chart5.xml"/><Relationship Id="rId22" Type="http://schemas.openxmlformats.org/officeDocument/2006/relationships/chart" Target="charts/chart13.xml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-pc\Desktop\Brookings\geog_jobs_exhibits_jk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chartUserShapes" Target="../drawings/drawing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chartUserShapes" Target="../drawings/drawing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_0423.xlsx" TargetMode="Externa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chartUserShapes" Target="../drawings/drawing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_0423.xlsx" TargetMode="Externa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chartUserShapes" Target="../drawings/drawing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chartUserShapes" Target="../drawings/drawing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chartUserShapes" Target="../drawings/drawing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chartUserShapes" Target="../drawings/drawing16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-pc\Desktop\Brookings\geog_jobs_exhibits_jk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.xlsx" TargetMode="Externa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chartUserShapes" Target="../drawings/drawing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_0423.xlsx" TargetMode="Externa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\\fpnas01\Archive_MET\Bass%20Center\Spring%202019%20%20trend%20briefs\Data\geog_jobs_exhibits_0423.xlsx" TargetMode="Externa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chartUserShapes" Target="../drawings/drawing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Change</a:t>
            </a:r>
            <a:r>
              <a:rPr lang="en-US" sz="1100" baseline="0"/>
              <a:t> in large metro area's perceived job density since 2004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5.6304024496937881E-2"/>
          <c:y val="0.20821221566054243"/>
          <c:w val="0.9233256051326918"/>
          <c:h val="0.6765160214348207"/>
        </c:manualLayout>
      </c:layout>
      <c:lineChart>
        <c:grouping val="standard"/>
        <c:varyColors val="0"/>
        <c:ser>
          <c:idx val="0"/>
          <c:order val="0"/>
          <c:tx>
            <c:strRef>
              <c:f>'Figure 1A 1B 1C'!$A$4</c:f>
              <c:strCache>
                <c:ptCount val="1"/>
                <c:pt idx="0">
                  <c:v>Large U.S. metro areas average (94)</c:v>
                </c:pt>
              </c:strCache>
            </c:strRef>
          </c:tx>
          <c:spPr>
            <a:ln w="571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1C'!$C$4:$N$4</c:f>
              <c:numCache>
                <c:formatCode>0%</c:formatCode>
                <c:ptCount val="12"/>
                <c:pt idx="0">
                  <c:v>0</c:v>
                </c:pt>
                <c:pt idx="1">
                  <c:v>4.1118041799237393E-3</c:v>
                </c:pt>
                <c:pt idx="2">
                  <c:v>2.3425608208824444E-2</c:v>
                </c:pt>
                <c:pt idx="3">
                  <c:v>4.1943400552544974E-2</c:v>
                </c:pt>
                <c:pt idx="4">
                  <c:v>0.10397516217010905</c:v>
                </c:pt>
                <c:pt idx="5">
                  <c:v>0.14919029073908718</c:v>
                </c:pt>
                <c:pt idx="6">
                  <c:v>0.16013379172952158</c:v>
                </c:pt>
                <c:pt idx="7">
                  <c:v>0.19532897600143961</c:v>
                </c:pt>
                <c:pt idx="8">
                  <c:v>0.20541354949562529</c:v>
                </c:pt>
                <c:pt idx="9">
                  <c:v>0.24286766580161423</c:v>
                </c:pt>
                <c:pt idx="10">
                  <c:v>0.26152496267192094</c:v>
                </c:pt>
                <c:pt idx="11">
                  <c:v>0.29531091088086869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3AB-4001-972A-1B9F3C4AF611}"/>
            </c:ext>
          </c:extLst>
        </c:ser>
        <c:ser>
          <c:idx val="1"/>
          <c:order val="1"/>
          <c:tx>
            <c:strRef>
              <c:f>'Figure 1A 1B 1C'!$A$6</c:f>
              <c:strCache>
                <c:ptCount val="1"/>
                <c:pt idx="0">
                  <c:v>Extremely dense metro areas (4)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1C'!$C$6:$N$6</c:f>
              <c:numCache>
                <c:formatCode>0%</c:formatCode>
                <c:ptCount val="12"/>
                <c:pt idx="0">
                  <c:v>0</c:v>
                </c:pt>
                <c:pt idx="1">
                  <c:v>6.2086391980804567E-3</c:v>
                </c:pt>
                <c:pt idx="2">
                  <c:v>3.7192562813062047E-2</c:v>
                </c:pt>
                <c:pt idx="3">
                  <c:v>7.3809914435056578E-2</c:v>
                </c:pt>
                <c:pt idx="4">
                  <c:v>0.1513232817883674</c:v>
                </c:pt>
                <c:pt idx="5">
                  <c:v>0.21361099530648109</c:v>
                </c:pt>
                <c:pt idx="6">
                  <c:v>0.24296318246230708</c:v>
                </c:pt>
                <c:pt idx="7">
                  <c:v>0.26595410409214049</c:v>
                </c:pt>
                <c:pt idx="8">
                  <c:v>0.30619058150765444</c:v>
                </c:pt>
                <c:pt idx="9">
                  <c:v>0.35648992234137822</c:v>
                </c:pt>
                <c:pt idx="10">
                  <c:v>0.4075218143017898</c:v>
                </c:pt>
                <c:pt idx="11">
                  <c:v>0.39911349029942911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3AB-4001-972A-1B9F3C4AF611}"/>
            </c:ext>
          </c:extLst>
        </c:ser>
        <c:ser>
          <c:idx val="2"/>
          <c:order val="2"/>
          <c:tx>
            <c:strRef>
              <c:f>'Figure 1A 1B 1C'!$A$8</c:f>
              <c:strCache>
                <c:ptCount val="1"/>
                <c:pt idx="0">
                  <c:v>All other large metro areas (90)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1C'!$C$8:$N$8</c:f>
              <c:numCache>
                <c:formatCode>0%</c:formatCode>
                <c:ptCount val="12"/>
                <c:pt idx="0">
                  <c:v>0</c:v>
                </c:pt>
                <c:pt idx="1">
                  <c:v>-7.3557805626589534E-4</c:v>
                </c:pt>
                <c:pt idx="2">
                  <c:v>1.3537530572353962E-3</c:v>
                </c:pt>
                <c:pt idx="3">
                  <c:v>4.9531611222328742E-3</c:v>
                </c:pt>
                <c:pt idx="4">
                  <c:v>3.1755950979240444E-2</c:v>
                </c:pt>
                <c:pt idx="5">
                  <c:v>8.138063490867431E-3</c:v>
                </c:pt>
                <c:pt idx="6">
                  <c:v>-1.0452720375864089E-2</c:v>
                </c:pt>
                <c:pt idx="7">
                  <c:v>2.7987256753898571E-2</c:v>
                </c:pt>
                <c:pt idx="8">
                  <c:v>1.2348550921481793E-2</c:v>
                </c:pt>
                <c:pt idx="9">
                  <c:v>3.2257640507550311E-2</c:v>
                </c:pt>
                <c:pt idx="10">
                  <c:v>2.0343052415805252E-2</c:v>
                </c:pt>
                <c:pt idx="11">
                  <c:v>4.654026183079818E-2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3AB-4001-972A-1B9F3C4AF6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61249968"/>
        <c:axId val="1228990480"/>
      </c:lineChart>
      <c:catAx>
        <c:axId val="11612499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8990480"/>
        <c:crosses val="autoZero"/>
        <c:auto val="1"/>
        <c:lblAlgn val="ctr"/>
        <c:lblOffset val="100"/>
        <c:noMultiLvlLbl val="0"/>
      </c:catAx>
      <c:valAx>
        <c:axId val="1228990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61249968"/>
        <c:crosses val="autoZero"/>
        <c:crossBetween val="midCat"/>
        <c:majorUnit val="0.1"/>
      </c:valAx>
      <c:spPr>
        <a:noFill/>
        <a:ln>
          <a:noFill/>
        </a:ln>
        <a:effectLst/>
      </c:spPr>
    </c:plotArea>
    <c:legend>
      <c:legendPos val="t"/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legendEntry>
        <c:idx val="2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layout>
        <c:manualLayout>
          <c:xMode val="edge"/>
          <c:yMode val="edge"/>
          <c:x val="6.2962962962962957E-2"/>
          <c:y val="0.10042904290429043"/>
          <c:w val="0.9"/>
          <c:h val="5.56934591096904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>
                <a:solidFill>
                  <a:sysClr val="windowText" lastClr="000000"/>
                </a:solidFill>
              </a:rPr>
              <a:t>Densification trends by county urbanization rate,</a:t>
            </a:r>
            <a:r>
              <a:rPr lang="en-US" sz="1100" baseline="0">
                <a:solidFill>
                  <a:sysClr val="windowText" lastClr="000000"/>
                </a:solidFill>
              </a:rPr>
              <a:t> 2004 to 2015</a:t>
            </a:r>
          </a:p>
          <a:p>
            <a:pPr>
              <a:defRPr/>
            </a:pPr>
            <a:r>
              <a:rPr lang="en-US" sz="900" baseline="0">
                <a:solidFill>
                  <a:sysClr val="windowText" lastClr="000000"/>
                </a:solidFill>
              </a:rPr>
              <a:t>U.S. large 94 metro areas</a:t>
            </a:r>
            <a:endParaRPr lang="en-US" sz="900">
              <a:solidFill>
                <a:sysClr val="windowText" lastClr="000000"/>
              </a:solidFill>
            </a:endParaRP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3815981335666381E-2"/>
          <c:y val="0.21281304680664917"/>
          <c:w val="0.89267979002624676"/>
          <c:h val="0.57479686132983376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'Figure 4A'!$D$3</c:f>
              <c:strCache>
                <c:ptCount val="1"/>
                <c:pt idx="0">
                  <c:v>Expected 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'Figure 4A'!$A$4:$A$8</c:f>
              <c:strCache>
                <c:ptCount val="5"/>
                <c:pt idx="0">
                  <c:v>Total</c:v>
                </c:pt>
                <c:pt idx="1">
                  <c:v>Urban core 
(at least 95% urban population)</c:v>
                </c:pt>
                <c:pt idx="2">
                  <c:v>Mature suburb
(75-95% urban population)</c:v>
                </c:pt>
                <c:pt idx="3">
                  <c:v>Emerging suburb
(less than 75% urban population)</c:v>
                </c:pt>
                <c:pt idx="4">
                  <c:v>Exurb
(0% urban population)</c:v>
                </c:pt>
              </c:strCache>
            </c:strRef>
          </c:cat>
          <c:val>
            <c:numRef>
              <c:f>'Figure 4A'!$D$4:$D$8</c:f>
              <c:numCache>
                <c:formatCode>0%</c:formatCode>
                <c:ptCount val="5"/>
                <c:pt idx="0">
                  <c:v>0.1989626060486365</c:v>
                </c:pt>
                <c:pt idx="1">
                  <c:v>0.19210373791317423</c:v>
                </c:pt>
                <c:pt idx="2">
                  <c:v>0.23108310658421377</c:v>
                </c:pt>
                <c:pt idx="3">
                  <c:v>0.26715016568626032</c:v>
                </c:pt>
                <c:pt idx="4">
                  <c:v>0.10264276558568265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00D-476D-B557-B19CB878BFAE}"/>
            </c:ext>
          </c:extLst>
        </c:ser>
        <c:ser>
          <c:idx val="0"/>
          <c:order val="1"/>
          <c:tx>
            <c:strRef>
              <c:f>'Figure 4A'!$G$3</c:f>
              <c:strCache>
                <c:ptCount val="1"/>
                <c:pt idx="0">
                  <c:v>Actual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4A'!$A$4:$A$8</c:f>
              <c:strCache>
                <c:ptCount val="5"/>
                <c:pt idx="0">
                  <c:v>Total</c:v>
                </c:pt>
                <c:pt idx="1">
                  <c:v>Urban core 
(at least 95% urban population)</c:v>
                </c:pt>
                <c:pt idx="2">
                  <c:v>Mature suburb
(75-95% urban population)</c:v>
                </c:pt>
                <c:pt idx="3">
                  <c:v>Emerging suburb
(less than 75% urban population)</c:v>
                </c:pt>
                <c:pt idx="4">
                  <c:v>Exurb
(0% urban population)</c:v>
                </c:pt>
              </c:strCache>
            </c:strRef>
          </c:cat>
          <c:val>
            <c:numRef>
              <c:f>'Figure 4A'!$G$4:$G$8</c:f>
              <c:numCache>
                <c:formatCode>0%</c:formatCode>
                <c:ptCount val="5"/>
                <c:pt idx="0">
                  <c:v>0.29534438809584368</c:v>
                </c:pt>
                <c:pt idx="1">
                  <c:v>0.32747728131433096</c:v>
                </c:pt>
                <c:pt idx="2">
                  <c:v>0.13829573046938876</c:v>
                </c:pt>
                <c:pt idx="3">
                  <c:v>4.8404030136746531E-2</c:v>
                </c:pt>
                <c:pt idx="4">
                  <c:v>-0.31536219966127388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00D-476D-B557-B19CB878BF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5"/>
        <c:overlap val="-25"/>
        <c:axId val="630659016"/>
        <c:axId val="718769792"/>
      </c:barChart>
      <c:catAx>
        <c:axId val="6306590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8769792"/>
        <c:crosses val="autoZero"/>
        <c:auto val="1"/>
        <c:lblAlgn val="ctr"/>
        <c:lblOffset val="100"/>
        <c:noMultiLvlLbl val="0"/>
      </c:catAx>
      <c:valAx>
        <c:axId val="718769792"/>
        <c:scaling>
          <c:orientation val="minMax"/>
          <c:max val="0.5"/>
          <c:min val="-0.3000000000000000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  <a:r>
                  <a:rPr lang="en-US" baseline="0"/>
                  <a:t> change in perceived job density</a:t>
                </a:r>
                <a:endParaRPr 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0659016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t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layout>
        <c:manualLayout>
          <c:xMode val="edge"/>
          <c:yMode val="edge"/>
          <c:x val="0.33832917624427383"/>
          <c:y val="0.13138346456692912"/>
          <c:w val="0.19497725827749793"/>
          <c:h val="5.625039370078740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>
                <a:solidFill>
                  <a:sysClr val="windowText" lastClr="000000"/>
                </a:solidFill>
              </a:rPr>
              <a:t>Densification trends by county urbanization rate,</a:t>
            </a:r>
            <a:r>
              <a:rPr lang="en-US" sz="1100" baseline="0">
                <a:solidFill>
                  <a:sysClr val="windowText" lastClr="000000"/>
                </a:solidFill>
              </a:rPr>
              <a:t> 2004 to 2015</a:t>
            </a:r>
          </a:p>
          <a:p>
            <a:pPr>
              <a:defRPr/>
            </a:pPr>
            <a:r>
              <a:rPr lang="en-US" sz="900" baseline="0">
                <a:solidFill>
                  <a:sysClr val="windowText" lastClr="000000"/>
                </a:solidFill>
              </a:rPr>
              <a:t>U.S. large 94 metro areas</a:t>
            </a:r>
            <a:endParaRPr lang="en-US" sz="900">
              <a:solidFill>
                <a:sysClr val="windowText" lastClr="000000"/>
              </a:solidFill>
            </a:endParaRP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1964129483814527E-2"/>
          <c:y val="0.21281304680664917"/>
          <c:w val="0.89453164187809853"/>
          <c:h val="0.57479686132983376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'Figure 4A'!$D$3</c:f>
              <c:strCache>
                <c:ptCount val="1"/>
                <c:pt idx="0">
                  <c:v>Expected 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cat>
            <c:strRef>
              <c:f>'Figure 4A'!$A$4:$A$8</c:f>
              <c:strCache>
                <c:ptCount val="5"/>
                <c:pt idx="0">
                  <c:v>Total</c:v>
                </c:pt>
                <c:pt idx="1">
                  <c:v>Urban core 
(at least 95% urban population)</c:v>
                </c:pt>
                <c:pt idx="2">
                  <c:v>Mature suburb
(75-95% urban population)</c:v>
                </c:pt>
                <c:pt idx="3">
                  <c:v>Emerging suburb
(less than 75% urban population)</c:v>
                </c:pt>
                <c:pt idx="4">
                  <c:v>Exurb
(0% urban population)</c:v>
                </c:pt>
              </c:strCache>
            </c:strRef>
          </c:cat>
          <c:val>
            <c:numRef>
              <c:f>'Figure 4A'!$D$4:$D$8</c:f>
              <c:numCache>
                <c:formatCode>0%</c:formatCode>
                <c:ptCount val="5"/>
                <c:pt idx="0">
                  <c:v>0.1989626060486365</c:v>
                </c:pt>
                <c:pt idx="1">
                  <c:v>0.19210373791317423</c:v>
                </c:pt>
                <c:pt idx="2">
                  <c:v>0.23108310658421377</c:v>
                </c:pt>
                <c:pt idx="3">
                  <c:v>0.26715016568626032</c:v>
                </c:pt>
                <c:pt idx="4">
                  <c:v>0.10264276558568265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244-40E4-BC18-60F457A40BCA}"/>
            </c:ext>
          </c:extLst>
        </c:ser>
        <c:ser>
          <c:idx val="0"/>
          <c:order val="1"/>
          <c:tx>
            <c:strRef>
              <c:f>'Figure 4A'!$G$3</c:f>
              <c:strCache>
                <c:ptCount val="1"/>
                <c:pt idx="0">
                  <c:v>Actual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4A'!$A$4:$A$8</c:f>
              <c:strCache>
                <c:ptCount val="5"/>
                <c:pt idx="0">
                  <c:v>Total</c:v>
                </c:pt>
                <c:pt idx="1">
                  <c:v>Urban core 
(at least 95% urban population)</c:v>
                </c:pt>
                <c:pt idx="2">
                  <c:v>Mature suburb
(75-95% urban population)</c:v>
                </c:pt>
                <c:pt idx="3">
                  <c:v>Emerging suburb
(less than 75% urban population)</c:v>
                </c:pt>
                <c:pt idx="4">
                  <c:v>Exurb
(0% urban population)</c:v>
                </c:pt>
              </c:strCache>
            </c:strRef>
          </c:cat>
          <c:val>
            <c:numRef>
              <c:f>'Figure 4A'!$G$4:$G$8</c:f>
              <c:numCache>
                <c:formatCode>0%</c:formatCode>
                <c:ptCount val="5"/>
                <c:pt idx="0">
                  <c:v>0.29534438809584368</c:v>
                </c:pt>
                <c:pt idx="1">
                  <c:v>0.32747728131433096</c:v>
                </c:pt>
                <c:pt idx="2">
                  <c:v>0.13829573046938876</c:v>
                </c:pt>
                <c:pt idx="3">
                  <c:v>4.8404030136746531E-2</c:v>
                </c:pt>
                <c:pt idx="4">
                  <c:v>-0.31536219966127388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244-40E4-BC18-60F457A40B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5"/>
        <c:overlap val="-25"/>
        <c:axId val="630659016"/>
        <c:axId val="718769792"/>
      </c:barChart>
      <c:catAx>
        <c:axId val="6306590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8769792"/>
        <c:crosses val="autoZero"/>
        <c:auto val="1"/>
        <c:lblAlgn val="ctr"/>
        <c:lblOffset val="100"/>
        <c:noMultiLvlLbl val="0"/>
      </c:catAx>
      <c:valAx>
        <c:axId val="718769792"/>
        <c:scaling>
          <c:orientation val="minMax"/>
          <c:max val="0.5"/>
          <c:min val="-0.3000000000000000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</a:t>
                </a:r>
                <a:r>
                  <a:rPr lang="en-US" baseline="0"/>
                  <a:t> change in perceived job density</a:t>
                </a:r>
                <a:endParaRPr 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0659016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Share of metro areas that saw an increase in perceived job density </a:t>
            </a:r>
          </a:p>
          <a:p>
            <a:pPr>
              <a:defRPr/>
            </a:pPr>
            <a:r>
              <a:rPr lang="en-US" sz="1100"/>
              <a:t>by county type,</a:t>
            </a:r>
            <a:r>
              <a:rPr lang="en-US" sz="1100" baseline="0"/>
              <a:t> </a:t>
            </a:r>
            <a:r>
              <a:rPr lang="en-US" sz="1100"/>
              <a:t>2004 to 2015</a:t>
            </a:r>
            <a:r>
              <a:rPr lang="en-US"/>
              <a:t> 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6299341469386703E-2"/>
          <c:y val="0.24186890133542996"/>
          <c:w val="0.89969629410071694"/>
          <c:h val="0.57632735354447462"/>
        </c:manualLayout>
      </c:layout>
      <c:barChart>
        <c:barDir val="bar"/>
        <c:grouping val="clustered"/>
        <c:varyColors val="0"/>
        <c:ser>
          <c:idx val="1"/>
          <c:order val="0"/>
          <c:tx>
            <c:strRef>
              <c:f>'Figure 6 7'!$H$68</c:f>
              <c:strCache>
                <c:ptCount val="1"/>
                <c:pt idx="0">
                  <c:v>Greater increase than expected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val>
            <c:numRef>
              <c:f>'Figure 6 7'!$H$69:$H$73</c:f>
              <c:numCache>
                <c:formatCode>0%</c:formatCode>
                <c:ptCount val="5"/>
                <c:pt idx="0">
                  <c:v>0.1702127659574468</c:v>
                </c:pt>
                <c:pt idx="1">
                  <c:v>0.30303030303030304</c:v>
                </c:pt>
                <c:pt idx="2">
                  <c:v>0.18840579710144928</c:v>
                </c:pt>
                <c:pt idx="3">
                  <c:v>0.3108108108108108</c:v>
                </c:pt>
                <c:pt idx="4">
                  <c:v>0.16666666666666666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171-432E-9AEC-65F9B042282A}"/>
            </c:ext>
          </c:extLst>
        </c:ser>
        <c:ser>
          <c:idx val="0"/>
          <c:order val="1"/>
          <c:tx>
            <c:strRef>
              <c:f>'Figure 6 7'!$F$68</c:f>
              <c:strCache>
                <c:ptCount val="1"/>
                <c:pt idx="0">
                  <c:v>Increase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6 7'!$A$69:$A$73</c:f>
              <c:strCache>
                <c:ptCount val="5"/>
                <c:pt idx="0">
                  <c:v>Total</c:v>
                </c:pt>
                <c:pt idx="1">
                  <c:v>Urban core 
(at least 95% urban population)</c:v>
                </c:pt>
                <c:pt idx="2">
                  <c:v>Mature suburb
(75-95% urban population)</c:v>
                </c:pt>
                <c:pt idx="3">
                  <c:v>Emerging suburb
(less than 75% urban population)</c:v>
                </c:pt>
                <c:pt idx="4">
                  <c:v>Exurb
(0% urban population)</c:v>
                </c:pt>
              </c:strCache>
            </c:strRef>
          </c:cat>
          <c:val>
            <c:numRef>
              <c:f>'Figure 6 7'!$F$69:$F$73</c:f>
              <c:numCache>
                <c:formatCode>0%</c:formatCode>
                <c:ptCount val="5"/>
                <c:pt idx="0">
                  <c:v>0.51063829787234039</c:v>
                </c:pt>
                <c:pt idx="1">
                  <c:v>0.63636363636363635</c:v>
                </c:pt>
                <c:pt idx="2">
                  <c:v>0.46376811594202899</c:v>
                </c:pt>
                <c:pt idx="3">
                  <c:v>0.52702702702702697</c:v>
                </c:pt>
                <c:pt idx="4">
                  <c:v>0.25925925925925924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171-432E-9AEC-65F9B04228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25"/>
        <c:axId val="190095584"/>
        <c:axId val="184422752"/>
      </c:barChart>
      <c:catAx>
        <c:axId val="190095584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4422752"/>
        <c:crosses val="autoZero"/>
        <c:auto val="1"/>
        <c:lblAlgn val="ctr"/>
        <c:lblOffset val="100"/>
        <c:noMultiLvlLbl val="0"/>
      </c:catAx>
      <c:valAx>
        <c:axId val="184422752"/>
        <c:scaling>
          <c:orientation val="minMax"/>
          <c:max val="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095584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t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Share of metro areas that saw an increase in perceived job density </a:t>
            </a:r>
          </a:p>
          <a:p>
            <a:pPr>
              <a:defRPr/>
            </a:pPr>
            <a:r>
              <a:rPr lang="en-US" sz="1100"/>
              <a:t>by county type,</a:t>
            </a:r>
            <a:r>
              <a:rPr lang="en-US" sz="1100" baseline="0"/>
              <a:t> </a:t>
            </a:r>
            <a:r>
              <a:rPr lang="en-US" sz="1100"/>
              <a:t>2004 to 2015</a:t>
            </a:r>
            <a:r>
              <a:rPr lang="en-US"/>
              <a:t> 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6299341469386703E-2"/>
          <c:y val="0.24186890133542996"/>
          <c:w val="0.89969629410071694"/>
          <c:h val="0.57632735354447462"/>
        </c:manualLayout>
      </c:layout>
      <c:barChart>
        <c:barDir val="bar"/>
        <c:grouping val="clustered"/>
        <c:varyColors val="0"/>
        <c:ser>
          <c:idx val="1"/>
          <c:order val="0"/>
          <c:tx>
            <c:strRef>
              <c:f>'Figure 6 7'!$H$68</c:f>
              <c:strCache>
                <c:ptCount val="1"/>
                <c:pt idx="0">
                  <c:v>Greater increase than expected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val>
            <c:numRef>
              <c:f>'Figure 6 7'!$H$69:$H$73</c:f>
              <c:numCache>
                <c:formatCode>0%</c:formatCode>
                <c:ptCount val="5"/>
                <c:pt idx="0">
                  <c:v>0.1702127659574468</c:v>
                </c:pt>
                <c:pt idx="1">
                  <c:v>0.30303030303030304</c:v>
                </c:pt>
                <c:pt idx="2">
                  <c:v>0.18840579710144928</c:v>
                </c:pt>
                <c:pt idx="3">
                  <c:v>0.3108108108108108</c:v>
                </c:pt>
                <c:pt idx="4">
                  <c:v>0.16666666666666666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AA3-40E6-B936-C089C82B73A0}"/>
            </c:ext>
          </c:extLst>
        </c:ser>
        <c:ser>
          <c:idx val="0"/>
          <c:order val="1"/>
          <c:tx>
            <c:strRef>
              <c:f>'Figure 6 7'!$F$68</c:f>
              <c:strCache>
                <c:ptCount val="1"/>
                <c:pt idx="0">
                  <c:v>Increase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6 7'!$A$69:$A$73</c:f>
              <c:strCache>
                <c:ptCount val="5"/>
                <c:pt idx="0">
                  <c:v>Total</c:v>
                </c:pt>
                <c:pt idx="1">
                  <c:v>Urban core 
(at least 95% urban population)</c:v>
                </c:pt>
                <c:pt idx="2">
                  <c:v>Mature suburb
(75-95% urban population)</c:v>
                </c:pt>
                <c:pt idx="3">
                  <c:v>Emerging suburb
(less than 75% urban population)</c:v>
                </c:pt>
                <c:pt idx="4">
                  <c:v>Exurb
(0% urban population)</c:v>
                </c:pt>
              </c:strCache>
            </c:strRef>
          </c:cat>
          <c:val>
            <c:numRef>
              <c:f>'Figure 6 7'!$F$69:$F$73</c:f>
              <c:numCache>
                <c:formatCode>0%</c:formatCode>
                <c:ptCount val="5"/>
                <c:pt idx="0">
                  <c:v>0.51063829787234039</c:v>
                </c:pt>
                <c:pt idx="1">
                  <c:v>0.63636363636363635</c:v>
                </c:pt>
                <c:pt idx="2">
                  <c:v>0.46376811594202899</c:v>
                </c:pt>
                <c:pt idx="3">
                  <c:v>0.52702702702702697</c:v>
                </c:pt>
                <c:pt idx="4">
                  <c:v>0.25925925925925924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AA3-40E6-B936-C089C82B73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-25"/>
        <c:axId val="190095584"/>
        <c:axId val="184422752"/>
      </c:barChart>
      <c:catAx>
        <c:axId val="190095584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4422752"/>
        <c:crosses val="autoZero"/>
        <c:auto val="1"/>
        <c:lblAlgn val="ctr"/>
        <c:lblOffset val="100"/>
        <c:noMultiLvlLbl val="0"/>
      </c:catAx>
      <c:valAx>
        <c:axId val="184422752"/>
        <c:scaling>
          <c:orientation val="minMax"/>
          <c:max val="1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high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095584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100" b="0">
                <a:solidFill>
                  <a:sysClr val="windowText" lastClr="000000"/>
                </a:solidFill>
              </a:rPr>
              <a:t>Change</a:t>
            </a:r>
            <a:r>
              <a:rPr lang="en-US" sz="1100" b="0" baseline="0">
                <a:solidFill>
                  <a:sysClr val="windowText" lastClr="000000"/>
                </a:solidFill>
              </a:rPr>
              <a:t> in Baltimore metro area's perceived job density since 2004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0853018372703414E-2"/>
          <c:y val="0.17814277121609801"/>
          <c:w val="0.88615552863584357"/>
          <c:h val="0.70658546587926507"/>
        </c:manualLayout>
      </c:layout>
      <c:lineChart>
        <c:grouping val="standard"/>
        <c:varyColors val="0"/>
        <c:ser>
          <c:idx val="1"/>
          <c:order val="0"/>
          <c:tx>
            <c:strRef>
              <c:f>'Figure 1A 1B 1C'!$B$11</c:f>
              <c:strCache>
                <c:ptCount val="1"/>
                <c:pt idx="0">
                  <c:v>Expected </c:v>
                </c:pt>
              </c:strCache>
            </c:strRef>
          </c:tx>
          <c:spPr>
            <a:ln w="38100" cap="rnd">
              <a:solidFill>
                <a:schemeClr val="bg1">
                  <a:lumMod val="50000"/>
                </a:schemeClr>
              </a:solidFill>
              <a:prstDash val="dash"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1C'!$C$11:$N$11</c:f>
              <c:numCache>
                <c:formatCode>0%</c:formatCode>
                <c:ptCount val="12"/>
                <c:pt idx="0">
                  <c:v>0</c:v>
                </c:pt>
                <c:pt idx="1">
                  <c:v>-6.4580804687834892E-3</c:v>
                </c:pt>
                <c:pt idx="2">
                  <c:v>6.5789636557413989E-3</c:v>
                </c:pt>
                <c:pt idx="3">
                  <c:v>3.3212069035755798E-2</c:v>
                </c:pt>
                <c:pt idx="4">
                  <c:v>6.9363798029478119E-2</c:v>
                </c:pt>
                <c:pt idx="5">
                  <c:v>9.5463731372082528E-2</c:v>
                </c:pt>
                <c:pt idx="6">
                  <c:v>0.10638292238004676</c:v>
                </c:pt>
                <c:pt idx="7">
                  <c:v>0.12717685931730971</c:v>
                </c:pt>
                <c:pt idx="8">
                  <c:v>0.13212792892558212</c:v>
                </c:pt>
                <c:pt idx="9">
                  <c:v>0.13779997908148389</c:v>
                </c:pt>
                <c:pt idx="10">
                  <c:v>0.16369036963785799</c:v>
                </c:pt>
                <c:pt idx="11">
                  <c:v>0.17853586663762888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F67-4B7C-A204-41E990FEC715}"/>
            </c:ext>
          </c:extLst>
        </c:ser>
        <c:ser>
          <c:idx val="0"/>
          <c:order val="1"/>
          <c:tx>
            <c:strRef>
              <c:f>'Figure 1A 1B 1C'!$B$10</c:f>
              <c:strCache>
                <c:ptCount val="1"/>
                <c:pt idx="0">
                  <c:v>Actual </c:v>
                </c:pt>
              </c:strCache>
            </c:strRef>
          </c:tx>
          <c:spPr>
            <a:ln w="57150" cap="rnd">
              <a:solidFill>
                <a:schemeClr val="accent5"/>
              </a:solidFill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1C'!$C$10:$N$10</c:f>
              <c:numCache>
                <c:formatCode>0%</c:formatCode>
                <c:ptCount val="12"/>
                <c:pt idx="0">
                  <c:v>0</c:v>
                </c:pt>
                <c:pt idx="1">
                  <c:v>-4.7469826757718492E-2</c:v>
                </c:pt>
                <c:pt idx="2">
                  <c:v>-3.4160128876925433E-2</c:v>
                </c:pt>
                <c:pt idx="3">
                  <c:v>8.3664572780237867E-2</c:v>
                </c:pt>
                <c:pt idx="4">
                  <c:v>0.10821379036924084</c:v>
                </c:pt>
                <c:pt idx="5">
                  <c:v>3.8182078586124213E-2</c:v>
                </c:pt>
                <c:pt idx="6">
                  <c:v>-8.7244454105393054E-2</c:v>
                </c:pt>
                <c:pt idx="7">
                  <c:v>-4.0788653334653091E-2</c:v>
                </c:pt>
                <c:pt idx="8">
                  <c:v>-4.2116098798325896E-2</c:v>
                </c:pt>
                <c:pt idx="9">
                  <c:v>-7.4030005587756076E-2</c:v>
                </c:pt>
                <c:pt idx="10">
                  <c:v>-0.10235379476902062</c:v>
                </c:pt>
                <c:pt idx="11">
                  <c:v>-1.0171635743574714E-2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F67-4B7C-A204-41E990FEC7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59017800"/>
        <c:axId val="569286880"/>
      </c:lineChart>
      <c:catAx>
        <c:axId val="6590178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>
                  <a:lumMod val="9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9286880"/>
        <c:crosses val="autoZero"/>
        <c:auto val="1"/>
        <c:lblAlgn val="ctr"/>
        <c:lblOffset val="100"/>
        <c:noMultiLvlLbl val="0"/>
      </c:catAx>
      <c:valAx>
        <c:axId val="569286880"/>
        <c:scaling>
          <c:orientation val="minMax"/>
          <c:max val="0.2"/>
          <c:min val="-0.15000000000000002"/>
        </c:scaling>
        <c:delete val="0"/>
        <c:axPos val="l"/>
        <c:majorGridlines>
          <c:spPr>
            <a:ln w="9525" cap="flat" cmpd="sng" algn="ctr">
              <a:solidFill>
                <a:schemeClr val="bg1">
                  <a:lumMod val="9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9017800"/>
        <c:crosses val="autoZero"/>
        <c:crossBetween val="midCat"/>
        <c:majorUnit val="0.1"/>
      </c:valAx>
      <c:spPr>
        <a:noFill/>
        <a:ln>
          <a:solidFill>
            <a:schemeClr val="bg1">
              <a:lumMod val="95000"/>
            </a:schemeClr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>
                <a:solidFill>
                  <a:sysClr val="windowText" lastClr="000000"/>
                </a:solidFill>
              </a:rPr>
              <a:t>Change in perceived job density of Baltimore metro by ind</a:t>
            </a:r>
            <a:r>
              <a:rPr lang="en-US" sz="11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us</a:t>
            </a:r>
            <a:r>
              <a:rPr lang="en-US" sz="1100">
                <a:solidFill>
                  <a:sysClr val="windowText" lastClr="000000"/>
                </a:solidFill>
              </a:rPr>
              <a:t>try</a:t>
            </a:r>
          </a:p>
          <a:p>
            <a:pPr>
              <a:defRPr/>
            </a:pPr>
            <a:r>
              <a:rPr lang="en-US" sz="1000">
                <a:solidFill>
                  <a:sysClr val="windowText" lastClr="000000"/>
                </a:solidFill>
              </a:rPr>
              <a:t>2004-2015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0242647553671176"/>
          <c:y val="0.20852471566054243"/>
          <c:w val="0.87406925095901478"/>
          <c:h val="0.48454013560804898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'Figure 3 extra'!$G$4</c:f>
              <c:strCache>
                <c:ptCount val="1"/>
                <c:pt idx="0">
                  <c:v>Expected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cat>
            <c:strRef>
              <c:f>'Figure 3 extra'!$E$5:$E$21</c:f>
              <c:strCache>
                <c:ptCount val="17"/>
                <c:pt idx="0">
                  <c:v>Total</c:v>
                </c:pt>
                <c:pt idx="1">
                  <c:v>Headquarters (55)*</c:v>
                </c:pt>
                <c:pt idx="2">
                  <c:v>Health Care (62)</c:v>
                </c:pt>
                <c:pt idx="3">
                  <c:v>Arts/Entertainment (71)</c:v>
                </c:pt>
                <c:pt idx="4">
                  <c:v>Construction (23)</c:v>
                </c:pt>
                <c:pt idx="5">
                  <c:v>Hospitality (72)</c:v>
                </c:pt>
                <c:pt idx="6">
                  <c:v>Local Services (81)</c:v>
                </c:pt>
                <c:pt idx="7">
                  <c:v>Logistics (48-49)</c:v>
                </c:pt>
                <c:pt idx="8">
                  <c:v>Professional (54)</c:v>
                </c:pt>
                <c:pt idx="9">
                  <c:v>Retail (44-45)</c:v>
                </c:pt>
                <c:pt idx="10">
                  <c:v>Utilities (22)</c:v>
                </c:pt>
                <c:pt idx="11">
                  <c:v>Wholesale (42)</c:v>
                </c:pt>
                <c:pt idx="12">
                  <c:v>Real Estate (53)</c:v>
                </c:pt>
                <c:pt idx="13">
                  <c:v>Finance (52)</c:v>
                </c:pt>
                <c:pt idx="14">
                  <c:v>Education (71)</c:v>
                </c:pt>
                <c:pt idx="15">
                  <c:v>Information (51)</c:v>
                </c:pt>
                <c:pt idx="16">
                  <c:v>Manufacturing (31-33)</c:v>
                </c:pt>
              </c:strCache>
            </c:strRef>
          </c:cat>
          <c:val>
            <c:numRef>
              <c:f>'Figure 3 extra'!$G$5:$G$21</c:f>
              <c:numCache>
                <c:formatCode>0%</c:formatCode>
                <c:ptCount val="17"/>
                <c:pt idx="0">
                  <c:v>0.17853586663762896</c:v>
                </c:pt>
                <c:pt idx="1">
                  <c:v>1.7361899462950252</c:v>
                </c:pt>
                <c:pt idx="2">
                  <c:v>0.52468759552478972</c:v>
                </c:pt>
                <c:pt idx="3">
                  <c:v>0.4786526229225575</c:v>
                </c:pt>
                <c:pt idx="4">
                  <c:v>-4.2065704895137918E-2</c:v>
                </c:pt>
                <c:pt idx="5">
                  <c:v>0.23262572639136098</c:v>
                </c:pt>
                <c:pt idx="6">
                  <c:v>6.8322258611474868E-2</c:v>
                </c:pt>
                <c:pt idx="7">
                  <c:v>-7.5488331128313269E-2</c:v>
                </c:pt>
                <c:pt idx="8">
                  <c:v>0.26098506806943833</c:v>
                </c:pt>
                <c:pt idx="9">
                  <c:v>-4.8406588682747415E-3</c:v>
                </c:pt>
                <c:pt idx="10">
                  <c:v>-0.12300815420366291</c:v>
                </c:pt>
                <c:pt idx="11">
                  <c:v>8.9860238508230519E-3</c:v>
                </c:pt>
                <c:pt idx="12">
                  <c:v>-4.3175448548147137E-2</c:v>
                </c:pt>
                <c:pt idx="13">
                  <c:v>-2.4103193707720006E-2</c:v>
                </c:pt>
                <c:pt idx="14">
                  <c:v>0.13213965652462134</c:v>
                </c:pt>
                <c:pt idx="15">
                  <c:v>-0.21093402389962548</c:v>
                </c:pt>
                <c:pt idx="16">
                  <c:v>-0.33650312850520309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2E1-442A-BD8F-4C9CF1A13095}"/>
            </c:ext>
          </c:extLst>
        </c:ser>
        <c:ser>
          <c:idx val="0"/>
          <c:order val="1"/>
          <c:tx>
            <c:strRef>
              <c:f>'Figure 3 extra'!$F$4</c:f>
              <c:strCache>
                <c:ptCount val="1"/>
                <c:pt idx="0">
                  <c:v>Actual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3 extra'!$E$5:$E$21</c:f>
              <c:strCache>
                <c:ptCount val="17"/>
                <c:pt idx="0">
                  <c:v>Total</c:v>
                </c:pt>
                <c:pt idx="1">
                  <c:v>Headquarters (55)*</c:v>
                </c:pt>
                <c:pt idx="2">
                  <c:v>Health Care (62)</c:v>
                </c:pt>
                <c:pt idx="3">
                  <c:v>Arts/Entertainment (71)</c:v>
                </c:pt>
                <c:pt idx="4">
                  <c:v>Construction (23)</c:v>
                </c:pt>
                <c:pt idx="5">
                  <c:v>Hospitality (72)</c:v>
                </c:pt>
                <c:pt idx="6">
                  <c:v>Local Services (81)</c:v>
                </c:pt>
                <c:pt idx="7">
                  <c:v>Logistics (48-49)</c:v>
                </c:pt>
                <c:pt idx="8">
                  <c:v>Professional (54)</c:v>
                </c:pt>
                <c:pt idx="9">
                  <c:v>Retail (44-45)</c:v>
                </c:pt>
                <c:pt idx="10">
                  <c:v>Utilities (22)</c:v>
                </c:pt>
                <c:pt idx="11">
                  <c:v>Wholesale (42)</c:v>
                </c:pt>
                <c:pt idx="12">
                  <c:v>Real Estate (53)</c:v>
                </c:pt>
                <c:pt idx="13">
                  <c:v>Finance (52)</c:v>
                </c:pt>
                <c:pt idx="14">
                  <c:v>Education (71)</c:v>
                </c:pt>
                <c:pt idx="15">
                  <c:v>Information (51)</c:v>
                </c:pt>
                <c:pt idx="16">
                  <c:v>Manufacturing (31-33)</c:v>
                </c:pt>
              </c:strCache>
            </c:strRef>
          </c:cat>
          <c:val>
            <c:numRef>
              <c:f>'Figure 3 extra'!$F$5:$F$21</c:f>
              <c:numCache>
                <c:formatCode>0%</c:formatCode>
                <c:ptCount val="17"/>
                <c:pt idx="0">
                  <c:v>-1.0171635743574749E-2</c:v>
                </c:pt>
                <c:pt idx="1">
                  <c:v>1.6182263940158903</c:v>
                </c:pt>
                <c:pt idx="2">
                  <c:v>0.62666051239767384</c:v>
                </c:pt>
                <c:pt idx="3">
                  <c:v>0.57766287318632048</c:v>
                </c:pt>
                <c:pt idx="4">
                  <c:v>0.15417190171608491</c:v>
                </c:pt>
                <c:pt idx="5">
                  <c:v>5.852271950823569E-2</c:v>
                </c:pt>
                <c:pt idx="6">
                  <c:v>1.0442526862060663E-2</c:v>
                </c:pt>
                <c:pt idx="7">
                  <c:v>9.8536147151874823E-3</c:v>
                </c:pt>
                <c:pt idx="8">
                  <c:v>-2.5452401732942335E-2</c:v>
                </c:pt>
                <c:pt idx="9">
                  <c:v>-2.941833883333388E-2</c:v>
                </c:pt>
                <c:pt idx="10">
                  <c:v>-8.5318518039538271E-2</c:v>
                </c:pt>
                <c:pt idx="11">
                  <c:v>-0.19237031823530004</c:v>
                </c:pt>
                <c:pt idx="12">
                  <c:v>-0.19306387200873579</c:v>
                </c:pt>
                <c:pt idx="13">
                  <c:v>-0.29686943208109701</c:v>
                </c:pt>
                <c:pt idx="14">
                  <c:v>-0.34785431892038138</c:v>
                </c:pt>
                <c:pt idx="15">
                  <c:v>-0.44125886997563391</c:v>
                </c:pt>
                <c:pt idx="16">
                  <c:v>-0.47424682251179245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E1-442A-BD8F-4C9CF1A130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41300864"/>
        <c:axId val="641297584"/>
      </c:barChart>
      <c:catAx>
        <c:axId val="6413008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1297584"/>
        <c:crosses val="autoZero"/>
        <c:auto val="1"/>
        <c:lblAlgn val="ctr"/>
        <c:lblOffset val="100"/>
        <c:noMultiLvlLbl val="0"/>
      </c:catAx>
      <c:valAx>
        <c:axId val="641297584"/>
        <c:scaling>
          <c:orientation val="minMax"/>
          <c:max val="0.70000000000000007"/>
          <c:min val="-0.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1300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40199576014536637"/>
          <c:y val="0.14069444444444446"/>
          <c:w val="0.1960084797092671"/>
          <c:h val="5.859416010498688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Densification trends by county urbanization</a:t>
            </a:r>
            <a:r>
              <a:rPr lang="en-US" sz="1100" baseline="0"/>
              <a:t> rate</a:t>
            </a:r>
          </a:p>
          <a:p>
            <a:pPr>
              <a:defRPr/>
            </a:pPr>
            <a:r>
              <a:rPr lang="en-US" sz="1050" baseline="0"/>
              <a:t>2004 to 2015</a:t>
            </a:r>
            <a:endParaRPr lang="en-US" sz="1050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0853018372703414E-2"/>
          <c:y val="0.19835110454943133"/>
          <c:w val="0.90564270812302305"/>
          <c:h val="0.42379565835520555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'Figure 4A'!$L$34</c:f>
              <c:strCache>
                <c:ptCount val="1"/>
                <c:pt idx="0">
                  <c:v>Expected 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cat>
            <c:multiLvlStrRef>
              <c:f>'Figure 4A'!$I$35:$J$43</c:f>
              <c:multiLvlStrCache>
                <c:ptCount val="9"/>
                <c:lvl>
                  <c:pt idx="0">
                    <c:v>Total</c:v>
                  </c:pt>
                  <c:pt idx="1">
                    <c:v>Baltimore City</c:v>
                  </c:pt>
                  <c:pt idx="2">
                    <c:v>MS total</c:v>
                  </c:pt>
                  <c:pt idx="3">
                    <c:v>Anne Arundel</c:v>
                  </c:pt>
                  <c:pt idx="4">
                    <c:v>Baltimore</c:v>
                  </c:pt>
                  <c:pt idx="5">
                    <c:v>Harford</c:v>
                  </c:pt>
                  <c:pt idx="6">
                    <c:v>Howard</c:v>
                  </c:pt>
                  <c:pt idx="7">
                    <c:v>Carroll</c:v>
                  </c:pt>
                  <c:pt idx="8">
                    <c:v>Queen Anne's</c:v>
                  </c:pt>
                </c:lvl>
                <c:lvl>
                  <c:pt idx="0">
                    <c:v>Baltimore metro</c:v>
                  </c:pt>
                  <c:pt idx="1">
                    <c:v>Urban core 
(at least 95% urban population)</c:v>
                  </c:pt>
                  <c:pt idx="2">
                    <c:v>Mature suburb
(75-95% urban population)</c:v>
                  </c:pt>
                  <c:pt idx="7">
                    <c:v>Emerging suburb
(less than 75% urban population)</c:v>
                  </c:pt>
                  <c:pt idx="8">
                    <c:v>Exurb
(0% urban population)</c:v>
                  </c:pt>
                </c:lvl>
              </c:multiLvlStrCache>
            </c:multiLvlStrRef>
          </c:cat>
          <c:val>
            <c:numRef>
              <c:f>'Figure 4A'!$L$35:$L$43</c:f>
              <c:numCache>
                <c:formatCode>0%</c:formatCode>
                <c:ptCount val="9"/>
                <c:pt idx="0">
                  <c:v>0.17853586663762896</c:v>
                </c:pt>
                <c:pt idx="1">
                  <c:v>0.19828181259312788</c:v>
                </c:pt>
                <c:pt idx="2">
                  <c:v>9.7305773023630943E-2</c:v>
                </c:pt>
                <c:pt idx="3">
                  <c:v>0.12</c:v>
                </c:pt>
                <c:pt idx="4">
                  <c:v>0.08</c:v>
                </c:pt>
                <c:pt idx="5">
                  <c:v>0.11</c:v>
                </c:pt>
                <c:pt idx="6">
                  <c:v>0.12</c:v>
                </c:pt>
                <c:pt idx="7">
                  <c:v>0.26353331534521246</c:v>
                </c:pt>
                <c:pt idx="8">
                  <c:v>0.12611137421999616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0A-4303-A20B-099E2AC8DB8C}"/>
            </c:ext>
          </c:extLst>
        </c:ser>
        <c:ser>
          <c:idx val="0"/>
          <c:order val="1"/>
          <c:tx>
            <c:strRef>
              <c:f>'Figure 4A'!$K$34</c:f>
              <c:strCache>
                <c:ptCount val="1"/>
                <c:pt idx="0">
                  <c:v>Actual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multiLvlStrRef>
              <c:f>'Figure 4A'!$I$35:$J$43</c:f>
              <c:multiLvlStrCache>
                <c:ptCount val="9"/>
                <c:lvl>
                  <c:pt idx="0">
                    <c:v>Total</c:v>
                  </c:pt>
                  <c:pt idx="1">
                    <c:v>Baltimore City</c:v>
                  </c:pt>
                  <c:pt idx="2">
                    <c:v>MS total</c:v>
                  </c:pt>
                  <c:pt idx="3">
                    <c:v>Anne Arundel</c:v>
                  </c:pt>
                  <c:pt idx="4">
                    <c:v>Baltimore</c:v>
                  </c:pt>
                  <c:pt idx="5">
                    <c:v>Harford</c:v>
                  </c:pt>
                  <c:pt idx="6">
                    <c:v>Howard</c:v>
                  </c:pt>
                  <c:pt idx="7">
                    <c:v>Carroll</c:v>
                  </c:pt>
                  <c:pt idx="8">
                    <c:v>Queen Anne's</c:v>
                  </c:pt>
                </c:lvl>
                <c:lvl>
                  <c:pt idx="0">
                    <c:v>Baltimore metro</c:v>
                  </c:pt>
                  <c:pt idx="1">
                    <c:v>Urban core 
(at least 95% urban population)</c:v>
                  </c:pt>
                  <c:pt idx="2">
                    <c:v>Mature suburb
(75-95% urban population)</c:v>
                  </c:pt>
                  <c:pt idx="7">
                    <c:v>Emerging suburb
(less than 75% urban population)</c:v>
                  </c:pt>
                  <c:pt idx="8">
                    <c:v>Exurb
(0% urban population)</c:v>
                  </c:pt>
                </c:lvl>
              </c:multiLvlStrCache>
            </c:multiLvlStrRef>
          </c:cat>
          <c:val>
            <c:numRef>
              <c:f>'Figure 4A'!$K$35:$K$43</c:f>
              <c:numCache>
                <c:formatCode>0%</c:formatCode>
                <c:ptCount val="9"/>
                <c:pt idx="0">
                  <c:v>-1.0171635743574749E-2</c:v>
                </c:pt>
                <c:pt idx="1">
                  <c:v>-2.2436153139286798E-2</c:v>
                </c:pt>
                <c:pt idx="2">
                  <c:v>3.1946140635970031E-2</c:v>
                </c:pt>
                <c:pt idx="3">
                  <c:v>0.06</c:v>
                </c:pt>
                <c:pt idx="4">
                  <c:v>-0.09</c:v>
                </c:pt>
                <c:pt idx="5">
                  <c:v>0.16</c:v>
                </c:pt>
                <c:pt idx="6">
                  <c:v>0.34</c:v>
                </c:pt>
                <c:pt idx="7">
                  <c:v>0.3343936921747041</c:v>
                </c:pt>
                <c:pt idx="8">
                  <c:v>0.45465575208100373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50A-4303-A20B-099E2AC8DB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315043456"/>
        <c:axId val="1908781200"/>
      </c:barChart>
      <c:catAx>
        <c:axId val="13150434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bg1">
                <a:lumMod val="85000"/>
              </a:schemeClr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8781200"/>
        <c:crosses val="autoZero"/>
        <c:auto val="1"/>
        <c:lblAlgn val="ctr"/>
        <c:lblOffset val="100"/>
        <c:noMultiLvlLbl val="0"/>
      </c:catAx>
      <c:valAx>
        <c:axId val="1908781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5043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9297647890167575"/>
          <c:y val="0.12586805555555555"/>
          <c:w val="0.20122652937613567"/>
          <c:h val="5.859416010498688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Change</a:t>
            </a:r>
            <a:r>
              <a:rPr lang="en-US" sz="1100" baseline="0"/>
              <a:t> in large metro area's perceived job density since 2004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5.6304024496937881E-2"/>
          <c:y val="0.20821221566054243"/>
          <c:w val="0.9233256051326918"/>
          <c:h val="0.6765160214348207"/>
        </c:manualLayout>
      </c:layout>
      <c:lineChart>
        <c:grouping val="standard"/>
        <c:varyColors val="0"/>
        <c:ser>
          <c:idx val="0"/>
          <c:order val="0"/>
          <c:tx>
            <c:strRef>
              <c:f>'Figure 1A 1B 1C'!$A$4</c:f>
              <c:strCache>
                <c:ptCount val="1"/>
                <c:pt idx="0">
                  <c:v>Large U.S. metro areas average (94)</c:v>
                </c:pt>
              </c:strCache>
            </c:strRef>
          </c:tx>
          <c:spPr>
            <a:ln w="571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1C'!$C$4:$N$4</c:f>
              <c:numCache>
                <c:formatCode>0%</c:formatCode>
                <c:ptCount val="12"/>
                <c:pt idx="0">
                  <c:v>0</c:v>
                </c:pt>
                <c:pt idx="1">
                  <c:v>4.1118041799237393E-3</c:v>
                </c:pt>
                <c:pt idx="2">
                  <c:v>2.3425608208824444E-2</c:v>
                </c:pt>
                <c:pt idx="3">
                  <c:v>4.1943400552544974E-2</c:v>
                </c:pt>
                <c:pt idx="4">
                  <c:v>0.10397516217010905</c:v>
                </c:pt>
                <c:pt idx="5">
                  <c:v>0.14919029073908718</c:v>
                </c:pt>
                <c:pt idx="6">
                  <c:v>0.16013379172952158</c:v>
                </c:pt>
                <c:pt idx="7">
                  <c:v>0.19532897600143961</c:v>
                </c:pt>
                <c:pt idx="8">
                  <c:v>0.20541354949562529</c:v>
                </c:pt>
                <c:pt idx="9">
                  <c:v>0.24286766580161423</c:v>
                </c:pt>
                <c:pt idx="10">
                  <c:v>0.26152496267192094</c:v>
                </c:pt>
                <c:pt idx="11">
                  <c:v>0.29531091088086869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80A-4128-BD85-E32AB9B2B544}"/>
            </c:ext>
          </c:extLst>
        </c:ser>
        <c:ser>
          <c:idx val="1"/>
          <c:order val="1"/>
          <c:tx>
            <c:strRef>
              <c:f>'Figure 1A 1B 1C'!$A$6</c:f>
              <c:strCache>
                <c:ptCount val="1"/>
                <c:pt idx="0">
                  <c:v>Extremely dense metro areas (4)</c:v>
                </c:pt>
              </c:strCache>
            </c:strRef>
          </c:tx>
          <c:spPr>
            <a:ln w="381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1C'!$C$6:$N$6</c:f>
              <c:numCache>
                <c:formatCode>0%</c:formatCode>
                <c:ptCount val="12"/>
                <c:pt idx="0">
                  <c:v>0</c:v>
                </c:pt>
                <c:pt idx="1">
                  <c:v>6.2086391980804567E-3</c:v>
                </c:pt>
                <c:pt idx="2">
                  <c:v>3.7192562813062047E-2</c:v>
                </c:pt>
                <c:pt idx="3">
                  <c:v>7.3809914435056578E-2</c:v>
                </c:pt>
                <c:pt idx="4">
                  <c:v>0.1513232817883674</c:v>
                </c:pt>
                <c:pt idx="5">
                  <c:v>0.21361099530648109</c:v>
                </c:pt>
                <c:pt idx="6">
                  <c:v>0.24296318246230708</c:v>
                </c:pt>
                <c:pt idx="7">
                  <c:v>0.26595410409214049</c:v>
                </c:pt>
                <c:pt idx="8">
                  <c:v>0.30619058150765444</c:v>
                </c:pt>
                <c:pt idx="9">
                  <c:v>0.35648992234137822</c:v>
                </c:pt>
                <c:pt idx="10">
                  <c:v>0.4075218143017898</c:v>
                </c:pt>
                <c:pt idx="11">
                  <c:v>0.39911349029942911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80A-4128-BD85-E32AB9B2B544}"/>
            </c:ext>
          </c:extLst>
        </c:ser>
        <c:ser>
          <c:idx val="2"/>
          <c:order val="2"/>
          <c:tx>
            <c:strRef>
              <c:f>'Figure 1A 1B 1C'!$A$8</c:f>
              <c:strCache>
                <c:ptCount val="1"/>
                <c:pt idx="0">
                  <c:v>All other large metro areas (90)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1C'!$C$8:$N$8</c:f>
              <c:numCache>
                <c:formatCode>0%</c:formatCode>
                <c:ptCount val="12"/>
                <c:pt idx="0">
                  <c:v>0</c:v>
                </c:pt>
                <c:pt idx="1">
                  <c:v>-7.3557805626589534E-4</c:v>
                </c:pt>
                <c:pt idx="2">
                  <c:v>1.3537530572353962E-3</c:v>
                </c:pt>
                <c:pt idx="3">
                  <c:v>4.9531611222328742E-3</c:v>
                </c:pt>
                <c:pt idx="4">
                  <c:v>3.1755950979240444E-2</c:v>
                </c:pt>
                <c:pt idx="5">
                  <c:v>8.138063490867431E-3</c:v>
                </c:pt>
                <c:pt idx="6">
                  <c:v>-1.0452720375864089E-2</c:v>
                </c:pt>
                <c:pt idx="7">
                  <c:v>2.7987256753898571E-2</c:v>
                </c:pt>
                <c:pt idx="8">
                  <c:v>1.2348550921481793E-2</c:v>
                </c:pt>
                <c:pt idx="9">
                  <c:v>3.2257640507550311E-2</c:v>
                </c:pt>
                <c:pt idx="10">
                  <c:v>2.0343052415805252E-2</c:v>
                </c:pt>
                <c:pt idx="11">
                  <c:v>4.654026183079818E-2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80A-4128-BD85-E32AB9B2B5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61249968"/>
        <c:axId val="1228990480"/>
      </c:lineChart>
      <c:catAx>
        <c:axId val="11612499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8990480"/>
        <c:crosses val="autoZero"/>
        <c:auto val="1"/>
        <c:lblAlgn val="ctr"/>
        <c:lblOffset val="100"/>
        <c:noMultiLvlLbl val="0"/>
      </c:catAx>
      <c:valAx>
        <c:axId val="1228990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61249968"/>
        <c:crosses val="autoZero"/>
        <c:crossBetween val="midCat"/>
        <c:majorUnit val="0.1"/>
      </c:valAx>
      <c:spPr>
        <a:noFill/>
        <a:ln>
          <a:noFill/>
        </a:ln>
        <a:effectLst/>
      </c:spPr>
    </c:plotArea>
    <c:legend>
      <c:legendPos val="t"/>
      <c:legendEntry>
        <c:idx val="2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layout>
        <c:manualLayout>
          <c:xMode val="edge"/>
          <c:yMode val="edge"/>
          <c:x val="6.2962962962962957E-2"/>
          <c:y val="0.10042904290429043"/>
          <c:w val="0.9"/>
          <c:h val="5.56934591096904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Change</a:t>
            </a:r>
            <a:r>
              <a:rPr lang="en-US" sz="1100" baseline="0"/>
              <a:t> in large metro area's perceived job density since 2004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5.6304024496937881E-2"/>
          <c:y val="0.20821221566054243"/>
          <c:w val="0.9233256051326918"/>
          <c:h val="0.6765160214348207"/>
        </c:manualLayout>
      </c:layout>
      <c:lineChart>
        <c:grouping val="standard"/>
        <c:varyColors val="0"/>
        <c:ser>
          <c:idx val="0"/>
          <c:order val="0"/>
          <c:tx>
            <c:strRef>
              <c:f>'Figure 1A 1B 1C'!$A$4</c:f>
              <c:strCache>
                <c:ptCount val="1"/>
                <c:pt idx="0">
                  <c:v>Large U.S. metro areas average (94)</c:v>
                </c:pt>
              </c:strCache>
            </c:strRef>
          </c:tx>
          <c:spPr>
            <a:ln w="571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1C'!$C$4:$N$4</c:f>
              <c:numCache>
                <c:formatCode>0%</c:formatCode>
                <c:ptCount val="12"/>
                <c:pt idx="0">
                  <c:v>0</c:v>
                </c:pt>
                <c:pt idx="1">
                  <c:v>4.1118041799237393E-3</c:v>
                </c:pt>
                <c:pt idx="2">
                  <c:v>2.3425608208824444E-2</c:v>
                </c:pt>
                <c:pt idx="3">
                  <c:v>4.1943400552544974E-2</c:v>
                </c:pt>
                <c:pt idx="4">
                  <c:v>0.10397516217010905</c:v>
                </c:pt>
                <c:pt idx="5">
                  <c:v>0.14919029073908718</c:v>
                </c:pt>
                <c:pt idx="6">
                  <c:v>0.16013379172952158</c:v>
                </c:pt>
                <c:pt idx="7">
                  <c:v>0.19532897600143961</c:v>
                </c:pt>
                <c:pt idx="8">
                  <c:v>0.20541354949562529</c:v>
                </c:pt>
                <c:pt idx="9">
                  <c:v>0.24286766580161423</c:v>
                </c:pt>
                <c:pt idx="10">
                  <c:v>0.26152496267192094</c:v>
                </c:pt>
                <c:pt idx="11">
                  <c:v>0.29531091088086869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B6A-4DAD-9C0D-14D6018B7999}"/>
            </c:ext>
          </c:extLst>
        </c:ser>
        <c:ser>
          <c:idx val="1"/>
          <c:order val="1"/>
          <c:tx>
            <c:strRef>
              <c:f>'Figure 1A 1B 1C'!$A$6</c:f>
              <c:strCache>
                <c:ptCount val="1"/>
                <c:pt idx="0">
                  <c:v>Extremely dense metro areas (4)</c:v>
                </c:pt>
              </c:strCache>
            </c:strRef>
          </c:tx>
          <c:spPr>
            <a:ln w="381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1C'!$C$6:$N$6</c:f>
              <c:numCache>
                <c:formatCode>0%</c:formatCode>
                <c:ptCount val="12"/>
                <c:pt idx="0">
                  <c:v>0</c:v>
                </c:pt>
                <c:pt idx="1">
                  <c:v>6.2086391980804567E-3</c:v>
                </c:pt>
                <c:pt idx="2">
                  <c:v>3.7192562813062047E-2</c:v>
                </c:pt>
                <c:pt idx="3">
                  <c:v>7.3809914435056578E-2</c:v>
                </c:pt>
                <c:pt idx="4">
                  <c:v>0.1513232817883674</c:v>
                </c:pt>
                <c:pt idx="5">
                  <c:v>0.21361099530648109</c:v>
                </c:pt>
                <c:pt idx="6">
                  <c:v>0.24296318246230708</c:v>
                </c:pt>
                <c:pt idx="7">
                  <c:v>0.26595410409214049</c:v>
                </c:pt>
                <c:pt idx="8">
                  <c:v>0.30619058150765444</c:v>
                </c:pt>
                <c:pt idx="9">
                  <c:v>0.35648992234137822</c:v>
                </c:pt>
                <c:pt idx="10">
                  <c:v>0.4075218143017898</c:v>
                </c:pt>
                <c:pt idx="11">
                  <c:v>0.39911349029942911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B6A-4DAD-9C0D-14D6018B7999}"/>
            </c:ext>
          </c:extLst>
        </c:ser>
        <c:ser>
          <c:idx val="2"/>
          <c:order val="2"/>
          <c:tx>
            <c:strRef>
              <c:f>'Figure 1A 1B 1C'!$A$8</c:f>
              <c:strCache>
                <c:ptCount val="1"/>
                <c:pt idx="0">
                  <c:v>All other large metro areas (90)</c:v>
                </c:pt>
              </c:strCache>
            </c:strRef>
          </c:tx>
          <c:spPr>
            <a:ln w="38100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1C'!$C$8:$N$8</c:f>
              <c:numCache>
                <c:formatCode>0%</c:formatCode>
                <c:ptCount val="12"/>
                <c:pt idx="0">
                  <c:v>0</c:v>
                </c:pt>
                <c:pt idx="1">
                  <c:v>-7.3557805626589534E-4</c:v>
                </c:pt>
                <c:pt idx="2">
                  <c:v>1.3537530572353962E-3</c:v>
                </c:pt>
                <c:pt idx="3">
                  <c:v>4.9531611222328742E-3</c:v>
                </c:pt>
                <c:pt idx="4">
                  <c:v>3.1755950979240444E-2</c:v>
                </c:pt>
                <c:pt idx="5">
                  <c:v>8.138063490867431E-3</c:v>
                </c:pt>
                <c:pt idx="6">
                  <c:v>-1.0452720375864089E-2</c:v>
                </c:pt>
                <c:pt idx="7">
                  <c:v>2.7987256753898571E-2</c:v>
                </c:pt>
                <c:pt idx="8">
                  <c:v>1.2348550921481793E-2</c:v>
                </c:pt>
                <c:pt idx="9">
                  <c:v>3.2257640507550311E-2</c:v>
                </c:pt>
                <c:pt idx="10">
                  <c:v>2.0343052415805252E-2</c:v>
                </c:pt>
                <c:pt idx="11">
                  <c:v>4.654026183079818E-2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B6A-4DAD-9C0D-14D6018B79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161249968"/>
        <c:axId val="1228990480"/>
      </c:lineChart>
      <c:catAx>
        <c:axId val="11612499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8990480"/>
        <c:crosses val="autoZero"/>
        <c:auto val="1"/>
        <c:lblAlgn val="ctr"/>
        <c:lblOffset val="100"/>
        <c:noMultiLvlLbl val="0"/>
      </c:catAx>
      <c:valAx>
        <c:axId val="1228990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61249968"/>
        <c:crosses val="autoZero"/>
        <c:crossBetween val="midCat"/>
        <c:majorUnit val="0.1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6.2962962962962957E-2"/>
          <c:y val="0.10042904290429043"/>
          <c:w val="0.9"/>
          <c:h val="5.56934591096904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100" b="0">
                <a:solidFill>
                  <a:sysClr val="windowText" lastClr="000000"/>
                </a:solidFill>
              </a:rPr>
              <a:t>Change</a:t>
            </a:r>
            <a:r>
              <a:rPr lang="en-US" sz="1100" b="0" baseline="0">
                <a:solidFill>
                  <a:sysClr val="windowText" lastClr="000000"/>
                </a:solidFill>
              </a:rPr>
              <a:t> in large metro areas' perceived job density since 2004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49661821118514E-2"/>
          <c:y val="0.17814277121609801"/>
          <c:w val="0.89204236489669564"/>
          <c:h val="0.70658546587926507"/>
        </c:manualLayout>
      </c:layout>
      <c:lineChart>
        <c:grouping val="standard"/>
        <c:varyColors val="0"/>
        <c:ser>
          <c:idx val="1"/>
          <c:order val="0"/>
          <c:tx>
            <c:strRef>
              <c:f>'Figure 1A 1B 1C'!$B$5</c:f>
              <c:strCache>
                <c:ptCount val="1"/>
                <c:pt idx="0">
                  <c:v>Expected</c:v>
                </c:pt>
              </c:strCache>
            </c:strRef>
          </c:tx>
          <c:spPr>
            <a:ln w="38100" cap="rnd">
              <a:noFill/>
              <a:prstDash val="dash"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1C'!$C$5:$N$5</c:f>
              <c:numCache>
                <c:formatCode>0%</c:formatCode>
                <c:ptCount val="12"/>
                <c:pt idx="0">
                  <c:v>0</c:v>
                </c:pt>
                <c:pt idx="1">
                  <c:v>1.5346358952780026E-2</c:v>
                </c:pt>
                <c:pt idx="2">
                  <c:v>3.1692341086500653E-2</c:v>
                </c:pt>
                <c:pt idx="3">
                  <c:v>4.6109138272607542E-2</c:v>
                </c:pt>
                <c:pt idx="4">
                  <c:v>7.3142621119115736E-2</c:v>
                </c:pt>
                <c:pt idx="5">
                  <c:v>7.9578602589792879E-2</c:v>
                </c:pt>
                <c:pt idx="6">
                  <c:v>9.5117509031249936E-2</c:v>
                </c:pt>
                <c:pt idx="7">
                  <c:v>0.11766375094772319</c:v>
                </c:pt>
                <c:pt idx="8">
                  <c:v>0.13599747622658831</c:v>
                </c:pt>
                <c:pt idx="9">
                  <c:v>0.16298214715402848</c:v>
                </c:pt>
                <c:pt idx="10">
                  <c:v>0.16756334675900564</c:v>
                </c:pt>
                <c:pt idx="11">
                  <c:v>0.19896843900198391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32A-43AF-9343-DFA6657EAFC8}"/>
            </c:ext>
          </c:extLst>
        </c:ser>
        <c:ser>
          <c:idx val="0"/>
          <c:order val="1"/>
          <c:tx>
            <c:strRef>
              <c:f>'Figure 1A 1B 1C'!$B$4</c:f>
              <c:strCache>
                <c:ptCount val="1"/>
                <c:pt idx="0">
                  <c:v>Actual</c:v>
                </c:pt>
              </c:strCache>
            </c:strRef>
          </c:tx>
          <c:spPr>
            <a:ln w="57150" cap="rnd">
              <a:solidFill>
                <a:schemeClr val="accent5"/>
              </a:solidFill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1C'!$C$4:$N$4</c:f>
              <c:numCache>
                <c:formatCode>0%</c:formatCode>
                <c:ptCount val="12"/>
                <c:pt idx="0">
                  <c:v>0</c:v>
                </c:pt>
                <c:pt idx="1">
                  <c:v>4.1118041799237393E-3</c:v>
                </c:pt>
                <c:pt idx="2">
                  <c:v>2.3425608208824444E-2</c:v>
                </c:pt>
                <c:pt idx="3">
                  <c:v>4.1943400552544974E-2</c:v>
                </c:pt>
                <c:pt idx="4">
                  <c:v>0.10397516217010905</c:v>
                </c:pt>
                <c:pt idx="5">
                  <c:v>0.14919029073908718</c:v>
                </c:pt>
                <c:pt idx="6">
                  <c:v>0.16013379172952158</c:v>
                </c:pt>
                <c:pt idx="7">
                  <c:v>0.19532897600143961</c:v>
                </c:pt>
                <c:pt idx="8">
                  <c:v>0.20541354949562529</c:v>
                </c:pt>
                <c:pt idx="9">
                  <c:v>0.24286766580161423</c:v>
                </c:pt>
                <c:pt idx="10">
                  <c:v>0.26152496267192094</c:v>
                </c:pt>
                <c:pt idx="11">
                  <c:v>0.29531091088086869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32A-43AF-9343-DFA6657EAF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59017800"/>
        <c:axId val="569286880"/>
      </c:lineChart>
      <c:catAx>
        <c:axId val="6590178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>
                  <a:lumMod val="9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9286880"/>
        <c:crosses val="autoZero"/>
        <c:auto val="1"/>
        <c:lblAlgn val="ctr"/>
        <c:lblOffset val="100"/>
        <c:noMultiLvlLbl val="0"/>
      </c:catAx>
      <c:valAx>
        <c:axId val="569286880"/>
        <c:scaling>
          <c:orientation val="minMax"/>
          <c:max val="0.4"/>
          <c:min val="-0.1"/>
        </c:scaling>
        <c:delete val="0"/>
        <c:axPos val="l"/>
        <c:majorGridlines>
          <c:spPr>
            <a:ln w="9525" cap="flat" cmpd="sng" algn="ctr">
              <a:solidFill>
                <a:schemeClr val="bg1">
                  <a:lumMod val="9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9017800"/>
        <c:crosses val="autoZero"/>
        <c:crossBetween val="midCat"/>
        <c:majorUnit val="0.1"/>
      </c:valAx>
      <c:spPr>
        <a:noFill/>
        <a:ln>
          <a:solidFill>
            <a:schemeClr val="bg1">
              <a:lumMod val="95000"/>
            </a:schemeClr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100" b="0">
                <a:solidFill>
                  <a:sysClr val="windowText" lastClr="000000"/>
                </a:solidFill>
              </a:rPr>
              <a:t>Change</a:t>
            </a:r>
            <a:r>
              <a:rPr lang="en-US" sz="1100" b="0" baseline="0">
                <a:solidFill>
                  <a:sysClr val="windowText" lastClr="000000"/>
                </a:solidFill>
              </a:rPr>
              <a:t> in large metro areas' perceived job density since 2004</a:t>
            </a:r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49661821118514E-2"/>
          <c:y val="0.17814277121609801"/>
          <c:w val="0.89204236489669564"/>
          <c:h val="0.70658546587926507"/>
        </c:manualLayout>
      </c:layout>
      <c:lineChart>
        <c:grouping val="standard"/>
        <c:varyColors val="0"/>
        <c:ser>
          <c:idx val="1"/>
          <c:order val="0"/>
          <c:tx>
            <c:strRef>
              <c:f>'Figure 1A 1B 1C'!$B$5</c:f>
              <c:strCache>
                <c:ptCount val="1"/>
                <c:pt idx="0">
                  <c:v>Expected</c:v>
                </c:pt>
              </c:strCache>
            </c:strRef>
          </c:tx>
          <c:spPr>
            <a:ln w="38100" cap="rnd">
              <a:solidFill>
                <a:schemeClr val="tx1">
                  <a:lumMod val="50000"/>
                  <a:lumOff val="50000"/>
                </a:schemeClr>
              </a:solidFill>
              <a:prstDash val="dash"/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1C'!$C$5:$N$5</c:f>
              <c:numCache>
                <c:formatCode>0%</c:formatCode>
                <c:ptCount val="12"/>
                <c:pt idx="0">
                  <c:v>0</c:v>
                </c:pt>
                <c:pt idx="1">
                  <c:v>1.5346358952780026E-2</c:v>
                </c:pt>
                <c:pt idx="2">
                  <c:v>3.1692341086500653E-2</c:v>
                </c:pt>
                <c:pt idx="3">
                  <c:v>4.6109138272607542E-2</c:v>
                </c:pt>
                <c:pt idx="4">
                  <c:v>7.3142621119115736E-2</c:v>
                </c:pt>
                <c:pt idx="5">
                  <c:v>7.9578602589792879E-2</c:v>
                </c:pt>
                <c:pt idx="6">
                  <c:v>9.5117509031249936E-2</c:v>
                </c:pt>
                <c:pt idx="7">
                  <c:v>0.11766375094772319</c:v>
                </c:pt>
                <c:pt idx="8">
                  <c:v>0.13599747622658831</c:v>
                </c:pt>
                <c:pt idx="9">
                  <c:v>0.16298214715402848</c:v>
                </c:pt>
                <c:pt idx="10">
                  <c:v>0.16756334675900564</c:v>
                </c:pt>
                <c:pt idx="11">
                  <c:v>0.19896843900198391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504-4D49-A0AC-9DA6610AC5D3}"/>
            </c:ext>
          </c:extLst>
        </c:ser>
        <c:ser>
          <c:idx val="0"/>
          <c:order val="1"/>
          <c:tx>
            <c:strRef>
              <c:f>'Figure 1A 1B 1C'!$B$4</c:f>
              <c:strCache>
                <c:ptCount val="1"/>
                <c:pt idx="0">
                  <c:v>Actual</c:v>
                </c:pt>
              </c:strCache>
            </c:strRef>
          </c:tx>
          <c:spPr>
            <a:ln w="57150" cap="rnd">
              <a:solidFill>
                <a:schemeClr val="accent5"/>
              </a:solidFill>
            </a:ln>
            <a:effectLst/>
          </c:spPr>
          <c:marker>
            <c:symbol val="none"/>
          </c:marker>
          <c:cat>
            <c:numRef>
              <c:f>'Figure 1A 1B 1C'!$C$3:$N$3</c:f>
              <c:numCache>
                <c:formatCode>General</c:formatCode>
                <c:ptCount val="12"/>
                <c:pt idx="0">
                  <c:v>2004</c:v>
                </c:pt>
                <c:pt idx="1">
                  <c:v>2005</c:v>
                </c:pt>
                <c:pt idx="2">
                  <c:v>2006</c:v>
                </c:pt>
                <c:pt idx="3">
                  <c:v>2007</c:v>
                </c:pt>
                <c:pt idx="4">
                  <c:v>2008</c:v>
                </c:pt>
                <c:pt idx="5">
                  <c:v>2009</c:v>
                </c:pt>
                <c:pt idx="6">
                  <c:v>2010</c:v>
                </c:pt>
                <c:pt idx="7">
                  <c:v>2011</c:v>
                </c:pt>
                <c:pt idx="8">
                  <c:v>2012</c:v>
                </c:pt>
                <c:pt idx="9">
                  <c:v>2013</c:v>
                </c:pt>
                <c:pt idx="10">
                  <c:v>2014</c:v>
                </c:pt>
                <c:pt idx="11">
                  <c:v>2015</c:v>
                </c:pt>
              </c:numCache>
            </c:numRef>
          </c:cat>
          <c:val>
            <c:numRef>
              <c:f>'Figure 1A 1B 1C'!$C$4:$N$4</c:f>
              <c:numCache>
                <c:formatCode>0%</c:formatCode>
                <c:ptCount val="12"/>
                <c:pt idx="0">
                  <c:v>0</c:v>
                </c:pt>
                <c:pt idx="1">
                  <c:v>4.1118041799237393E-3</c:v>
                </c:pt>
                <c:pt idx="2">
                  <c:v>2.3425608208824444E-2</c:v>
                </c:pt>
                <c:pt idx="3">
                  <c:v>4.1943400552544974E-2</c:v>
                </c:pt>
                <c:pt idx="4">
                  <c:v>0.10397516217010905</c:v>
                </c:pt>
                <c:pt idx="5">
                  <c:v>0.14919029073908718</c:v>
                </c:pt>
                <c:pt idx="6">
                  <c:v>0.16013379172952158</c:v>
                </c:pt>
                <c:pt idx="7">
                  <c:v>0.19532897600143961</c:v>
                </c:pt>
                <c:pt idx="8">
                  <c:v>0.20541354949562529</c:v>
                </c:pt>
                <c:pt idx="9">
                  <c:v>0.24286766580161423</c:v>
                </c:pt>
                <c:pt idx="10">
                  <c:v>0.26152496267192094</c:v>
                </c:pt>
                <c:pt idx="11">
                  <c:v>0.29531091088086869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504-4D49-A0AC-9DA6610AC5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59017800"/>
        <c:axId val="569286880"/>
      </c:lineChart>
      <c:catAx>
        <c:axId val="6590178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1">
                  <a:lumMod val="9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9286880"/>
        <c:crosses val="autoZero"/>
        <c:auto val="1"/>
        <c:lblAlgn val="ctr"/>
        <c:lblOffset val="100"/>
        <c:noMultiLvlLbl val="0"/>
      </c:catAx>
      <c:valAx>
        <c:axId val="569286880"/>
        <c:scaling>
          <c:orientation val="minMax"/>
          <c:max val="0.4"/>
          <c:min val="-0.1"/>
        </c:scaling>
        <c:delete val="0"/>
        <c:axPos val="l"/>
        <c:majorGridlines>
          <c:spPr>
            <a:ln w="9525" cap="flat" cmpd="sng" algn="ctr">
              <a:solidFill>
                <a:schemeClr val="bg1">
                  <a:lumMod val="9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9017800"/>
        <c:crosses val="autoZero"/>
        <c:crossBetween val="midCat"/>
        <c:majorUnit val="0.1"/>
      </c:valAx>
      <c:spPr>
        <a:noFill/>
        <a:ln>
          <a:solidFill>
            <a:schemeClr val="bg1">
              <a:lumMod val="95000"/>
            </a:schemeClr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Change in perceived job density of large</a:t>
            </a:r>
            <a:r>
              <a:rPr lang="en-US" sz="1100" baseline="0"/>
              <a:t> </a:t>
            </a:r>
            <a:r>
              <a:rPr lang="en-US" sz="11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rPr>
              <a:t>U.S.</a:t>
            </a:r>
            <a:r>
              <a:rPr lang="en-US" sz="1100" baseline="0"/>
              <a:t> metro areas by industry</a:t>
            </a:r>
          </a:p>
          <a:p>
            <a:pPr>
              <a:defRPr/>
            </a:pPr>
            <a:r>
              <a:rPr lang="en-US" sz="1000" baseline="0"/>
              <a:t>2004 to 2015</a:t>
            </a:r>
            <a:endParaRPr lang="en-US" sz="1000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1405949256342955E-2"/>
          <c:y val="0.20663249125109362"/>
          <c:w val="0.91822368037328672"/>
          <c:h val="0.48643236001749779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'Figure 3B 3C'!$B$4</c:f>
              <c:strCache>
                <c:ptCount val="1"/>
                <c:pt idx="0">
                  <c:v>Expected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'Figure 3B 3C'!$C$2:$S$2</c:f>
              <c:strCache>
                <c:ptCount val="17"/>
                <c:pt idx="0">
                  <c:v>Total</c:v>
                </c:pt>
                <c:pt idx="1">
                  <c:v>Professional (54)</c:v>
                </c:pt>
                <c:pt idx="2">
                  <c:v>Hospitality (72)</c:v>
                </c:pt>
                <c:pt idx="3">
                  <c:v>Health Care (62)</c:v>
                </c:pt>
                <c:pt idx="4">
                  <c:v>Information (51)</c:v>
                </c:pt>
                <c:pt idx="5">
                  <c:v>Headquarters (55)</c:v>
                </c:pt>
                <c:pt idx="6">
                  <c:v>Arts/Entertainment (71)</c:v>
                </c:pt>
                <c:pt idx="7">
                  <c:v>Education (61)</c:v>
                </c:pt>
                <c:pt idx="8">
                  <c:v>Retail (44-45)</c:v>
                </c:pt>
                <c:pt idx="9">
                  <c:v>Construction (23)</c:v>
                </c:pt>
                <c:pt idx="10">
                  <c:v>Real Estate (53)</c:v>
                </c:pt>
                <c:pt idx="11">
                  <c:v>Utilities (22)</c:v>
                </c:pt>
                <c:pt idx="12">
                  <c:v>Wholesale (42)</c:v>
                </c:pt>
                <c:pt idx="13">
                  <c:v>Local Services (81)</c:v>
                </c:pt>
                <c:pt idx="14">
                  <c:v>Finance (52)</c:v>
                </c:pt>
                <c:pt idx="15">
                  <c:v>Manufacturing (31-33)</c:v>
                </c:pt>
                <c:pt idx="16">
                  <c:v>Logistics (48-49)</c:v>
                </c:pt>
              </c:strCache>
            </c:strRef>
          </c:cat>
          <c:val>
            <c:numRef>
              <c:f>'Figure 3B 3C'!$C$4:$S$4</c:f>
              <c:numCache>
                <c:formatCode>0%</c:formatCode>
                <c:ptCount val="17"/>
                <c:pt idx="0">
                  <c:v>0.19896843900198391</c:v>
                </c:pt>
                <c:pt idx="1">
                  <c:v>0.35682945532908733</c:v>
                </c:pt>
                <c:pt idx="2">
                  <c:v>0.40753691927172209</c:v>
                </c:pt>
                <c:pt idx="3">
                  <c:v>0.49032919643294648</c:v>
                </c:pt>
                <c:pt idx="4">
                  <c:v>0.10007699033483039</c:v>
                </c:pt>
                <c:pt idx="5">
                  <c:v>0.27806627525455108</c:v>
                </c:pt>
                <c:pt idx="6">
                  <c:v>0.31409986312928784</c:v>
                </c:pt>
                <c:pt idx="7">
                  <c:v>0.40719442855851778</c:v>
                </c:pt>
                <c:pt idx="8">
                  <c:v>0.11194615335961132</c:v>
                </c:pt>
                <c:pt idx="9">
                  <c:v>6.0135143368057226E-2</c:v>
                </c:pt>
                <c:pt idx="10">
                  <c:v>1.5941288880340795E-2</c:v>
                </c:pt>
                <c:pt idx="11">
                  <c:v>0.14500754713305108</c:v>
                </c:pt>
                <c:pt idx="12">
                  <c:v>-1.7423119676496391E-2</c:v>
                </c:pt>
                <c:pt idx="13">
                  <c:v>9.0770787314055273E-2</c:v>
                </c:pt>
                <c:pt idx="14">
                  <c:v>1.0646016019228552E-2</c:v>
                </c:pt>
                <c:pt idx="15">
                  <c:v>-0.20798467942892385</c:v>
                </c:pt>
                <c:pt idx="16">
                  <c:v>4.7872723629000073E-2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A4-4E90-8758-BB5D1CDE42E0}"/>
            </c:ext>
          </c:extLst>
        </c:ser>
        <c:ser>
          <c:idx val="0"/>
          <c:order val="1"/>
          <c:tx>
            <c:strRef>
              <c:f>'Figure 3B 3C'!$B$3</c:f>
              <c:strCache>
                <c:ptCount val="1"/>
                <c:pt idx="0">
                  <c:v>Actual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3B 3C'!$C$2:$S$2</c:f>
              <c:strCache>
                <c:ptCount val="17"/>
                <c:pt idx="0">
                  <c:v>Total</c:v>
                </c:pt>
                <c:pt idx="1">
                  <c:v>Professional (54)</c:v>
                </c:pt>
                <c:pt idx="2">
                  <c:v>Hospitality (72)</c:v>
                </c:pt>
                <c:pt idx="3">
                  <c:v>Health Care (62)</c:v>
                </c:pt>
                <c:pt idx="4">
                  <c:v>Information (51)</c:v>
                </c:pt>
                <c:pt idx="5">
                  <c:v>Headquarters (55)</c:v>
                </c:pt>
                <c:pt idx="6">
                  <c:v>Arts/Entertainment (71)</c:v>
                </c:pt>
                <c:pt idx="7">
                  <c:v>Education (61)</c:v>
                </c:pt>
                <c:pt idx="8">
                  <c:v>Retail (44-45)</c:v>
                </c:pt>
                <c:pt idx="9">
                  <c:v>Construction (23)</c:v>
                </c:pt>
                <c:pt idx="10">
                  <c:v>Real Estate (53)</c:v>
                </c:pt>
                <c:pt idx="11">
                  <c:v>Utilities (22)</c:v>
                </c:pt>
                <c:pt idx="12">
                  <c:v>Wholesale (42)</c:v>
                </c:pt>
                <c:pt idx="13">
                  <c:v>Local Services (81)</c:v>
                </c:pt>
                <c:pt idx="14">
                  <c:v>Finance (52)</c:v>
                </c:pt>
                <c:pt idx="15">
                  <c:v>Manufacturing (31-33)</c:v>
                </c:pt>
                <c:pt idx="16">
                  <c:v>Logistics (48-49)</c:v>
                </c:pt>
              </c:strCache>
            </c:strRef>
          </c:cat>
          <c:val>
            <c:numRef>
              <c:f>'Figure 3B 3C'!$C$3:$S$3</c:f>
              <c:numCache>
                <c:formatCode>0%</c:formatCode>
                <c:ptCount val="17"/>
                <c:pt idx="0">
                  <c:v>0.29531091088086858</c:v>
                </c:pt>
                <c:pt idx="1">
                  <c:v>0.57114438509232568</c:v>
                </c:pt>
                <c:pt idx="2">
                  <c:v>0.4961461937319589</c:v>
                </c:pt>
                <c:pt idx="3">
                  <c:v>0.46495147399363113</c:v>
                </c:pt>
                <c:pt idx="4">
                  <c:v>0.41449749157976107</c:v>
                </c:pt>
                <c:pt idx="5">
                  <c:v>0.38757549532282165</c:v>
                </c:pt>
                <c:pt idx="6">
                  <c:v>0.3353356897047291</c:v>
                </c:pt>
                <c:pt idx="7">
                  <c:v>0.2906885193928388</c:v>
                </c:pt>
                <c:pt idx="8">
                  <c:v>0.27265642230056669</c:v>
                </c:pt>
                <c:pt idx="9">
                  <c:v>0.24445757485071401</c:v>
                </c:pt>
                <c:pt idx="10">
                  <c:v>0.20214421506857777</c:v>
                </c:pt>
                <c:pt idx="11">
                  <c:v>0.19053178016805375</c:v>
                </c:pt>
                <c:pt idx="12">
                  <c:v>0.15542492671340133</c:v>
                </c:pt>
                <c:pt idx="13">
                  <c:v>9.8787443988803458E-2</c:v>
                </c:pt>
                <c:pt idx="14">
                  <c:v>9.4582261596666703E-2</c:v>
                </c:pt>
                <c:pt idx="15">
                  <c:v>-0.24994639825823511</c:v>
                </c:pt>
                <c:pt idx="16">
                  <c:v>-0.2559831099790652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A4-4E90-8758-BB5D1CDE42E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5"/>
        <c:overlap val="-25"/>
        <c:axId val="600908184"/>
        <c:axId val="600908512"/>
      </c:barChart>
      <c:catAx>
        <c:axId val="6009081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908512"/>
        <c:crosses val="autoZero"/>
        <c:auto val="1"/>
        <c:lblAlgn val="ctr"/>
        <c:lblOffset val="100"/>
        <c:noMultiLvlLbl val="0"/>
      </c:catAx>
      <c:valAx>
        <c:axId val="600908512"/>
        <c:scaling>
          <c:orientation val="minMax"/>
          <c:min val="-0.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908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41506299212598419"/>
          <c:y val="0.13067722003499563"/>
          <c:w val="0.16987401574803149"/>
          <c:h val="5.859416010498688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Change in perceived job density of large</a:t>
            </a:r>
            <a:r>
              <a:rPr lang="en-US" sz="1100" baseline="0"/>
              <a:t> </a:t>
            </a:r>
            <a:r>
              <a:rPr lang="en-US" sz="11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rPr>
              <a:t>U.S.</a:t>
            </a:r>
            <a:r>
              <a:rPr lang="en-US" sz="1100" baseline="0"/>
              <a:t> metro areas by ind</a:t>
            </a:r>
            <a:r>
              <a:rPr lang="en-US" sz="11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rPr>
              <a:t>us</a:t>
            </a:r>
            <a:r>
              <a:rPr lang="en-US" sz="1100" baseline="0"/>
              <a:t>try</a:t>
            </a:r>
          </a:p>
          <a:p>
            <a:pPr>
              <a:defRPr/>
            </a:pPr>
            <a:r>
              <a:rPr lang="en-US" sz="1000" baseline="0"/>
              <a:t>2004 to 2015</a:t>
            </a:r>
            <a:endParaRPr lang="en-US" sz="1000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1405949256342955E-2"/>
          <c:y val="0.20663249125109362"/>
          <c:w val="0.91822368037328672"/>
          <c:h val="0.48643236001749779"/>
        </c:manualLayout>
      </c:layout>
      <c:barChart>
        <c:barDir val="col"/>
        <c:grouping val="clustered"/>
        <c:varyColors val="0"/>
        <c:ser>
          <c:idx val="1"/>
          <c:order val="0"/>
          <c:tx>
            <c:strRef>
              <c:f>'Figure 3B 3C'!$B$4</c:f>
              <c:strCache>
                <c:ptCount val="1"/>
                <c:pt idx="0">
                  <c:v>Expected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cat>
            <c:strRef>
              <c:f>'Figure 3B 3C'!$C$2:$S$2</c:f>
              <c:strCache>
                <c:ptCount val="17"/>
                <c:pt idx="0">
                  <c:v>Total</c:v>
                </c:pt>
                <c:pt idx="1">
                  <c:v>Professional (54)</c:v>
                </c:pt>
                <c:pt idx="2">
                  <c:v>Hospitality (72)</c:v>
                </c:pt>
                <c:pt idx="3">
                  <c:v>Health Care (62)</c:v>
                </c:pt>
                <c:pt idx="4">
                  <c:v>Information (51)</c:v>
                </c:pt>
                <c:pt idx="5">
                  <c:v>Headquarters (55)</c:v>
                </c:pt>
                <c:pt idx="6">
                  <c:v>Arts/Entertainment (71)</c:v>
                </c:pt>
                <c:pt idx="7">
                  <c:v>Education (61)</c:v>
                </c:pt>
                <c:pt idx="8">
                  <c:v>Retail (44-45)</c:v>
                </c:pt>
                <c:pt idx="9">
                  <c:v>Construction (23)</c:v>
                </c:pt>
                <c:pt idx="10">
                  <c:v>Real Estate (53)</c:v>
                </c:pt>
                <c:pt idx="11">
                  <c:v>Utilities (22)</c:v>
                </c:pt>
                <c:pt idx="12">
                  <c:v>Wholesale (42)</c:v>
                </c:pt>
                <c:pt idx="13">
                  <c:v>Local Services (81)</c:v>
                </c:pt>
                <c:pt idx="14">
                  <c:v>Finance (52)</c:v>
                </c:pt>
                <c:pt idx="15">
                  <c:v>Manufacturing (31-33)</c:v>
                </c:pt>
                <c:pt idx="16">
                  <c:v>Logistics (48-49)</c:v>
                </c:pt>
              </c:strCache>
            </c:strRef>
          </c:cat>
          <c:val>
            <c:numRef>
              <c:f>'Figure 3B 3C'!$C$4:$S$4</c:f>
              <c:numCache>
                <c:formatCode>0%</c:formatCode>
                <c:ptCount val="17"/>
                <c:pt idx="0">
                  <c:v>0.19896843900198391</c:v>
                </c:pt>
                <c:pt idx="1">
                  <c:v>0.35682945532908733</c:v>
                </c:pt>
                <c:pt idx="2">
                  <c:v>0.40753691927172209</c:v>
                </c:pt>
                <c:pt idx="3">
                  <c:v>0.49032919643294648</c:v>
                </c:pt>
                <c:pt idx="4">
                  <c:v>0.10007699033483039</c:v>
                </c:pt>
                <c:pt idx="5">
                  <c:v>0.27806627525455108</c:v>
                </c:pt>
                <c:pt idx="6">
                  <c:v>0.31409986312928784</c:v>
                </c:pt>
                <c:pt idx="7">
                  <c:v>0.40719442855851778</c:v>
                </c:pt>
                <c:pt idx="8">
                  <c:v>0.11194615335961132</c:v>
                </c:pt>
                <c:pt idx="9">
                  <c:v>6.0135143368057226E-2</c:v>
                </c:pt>
                <c:pt idx="10">
                  <c:v>1.5941288880340795E-2</c:v>
                </c:pt>
                <c:pt idx="11">
                  <c:v>0.14500754713305108</c:v>
                </c:pt>
                <c:pt idx="12">
                  <c:v>-1.7423119676496391E-2</c:v>
                </c:pt>
                <c:pt idx="13">
                  <c:v>9.0770787314055273E-2</c:v>
                </c:pt>
                <c:pt idx="14">
                  <c:v>1.0646016019228552E-2</c:v>
                </c:pt>
                <c:pt idx="15">
                  <c:v>-0.20798467942892385</c:v>
                </c:pt>
                <c:pt idx="16">
                  <c:v>4.7872723629000073E-2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357-4D69-8B59-0DF62B2D18F6}"/>
            </c:ext>
          </c:extLst>
        </c:ser>
        <c:ser>
          <c:idx val="0"/>
          <c:order val="1"/>
          <c:tx>
            <c:strRef>
              <c:f>'Figure 3B 3C'!$B$3</c:f>
              <c:strCache>
                <c:ptCount val="1"/>
                <c:pt idx="0">
                  <c:v>Actual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cat>
            <c:strRef>
              <c:f>'Figure 3B 3C'!$C$2:$S$2</c:f>
              <c:strCache>
                <c:ptCount val="17"/>
                <c:pt idx="0">
                  <c:v>Total</c:v>
                </c:pt>
                <c:pt idx="1">
                  <c:v>Professional (54)</c:v>
                </c:pt>
                <c:pt idx="2">
                  <c:v>Hospitality (72)</c:v>
                </c:pt>
                <c:pt idx="3">
                  <c:v>Health Care (62)</c:v>
                </c:pt>
                <c:pt idx="4">
                  <c:v>Information (51)</c:v>
                </c:pt>
                <c:pt idx="5">
                  <c:v>Headquarters (55)</c:v>
                </c:pt>
                <c:pt idx="6">
                  <c:v>Arts/Entertainment (71)</c:v>
                </c:pt>
                <c:pt idx="7">
                  <c:v>Education (61)</c:v>
                </c:pt>
                <c:pt idx="8">
                  <c:v>Retail (44-45)</c:v>
                </c:pt>
                <c:pt idx="9">
                  <c:v>Construction (23)</c:v>
                </c:pt>
                <c:pt idx="10">
                  <c:v>Real Estate (53)</c:v>
                </c:pt>
                <c:pt idx="11">
                  <c:v>Utilities (22)</c:v>
                </c:pt>
                <c:pt idx="12">
                  <c:v>Wholesale (42)</c:v>
                </c:pt>
                <c:pt idx="13">
                  <c:v>Local Services (81)</c:v>
                </c:pt>
                <c:pt idx="14">
                  <c:v>Finance (52)</c:v>
                </c:pt>
                <c:pt idx="15">
                  <c:v>Manufacturing (31-33)</c:v>
                </c:pt>
                <c:pt idx="16">
                  <c:v>Logistics (48-49)</c:v>
                </c:pt>
              </c:strCache>
            </c:strRef>
          </c:cat>
          <c:val>
            <c:numRef>
              <c:f>'Figure 3B 3C'!$C$3:$S$3</c:f>
              <c:numCache>
                <c:formatCode>0%</c:formatCode>
                <c:ptCount val="17"/>
                <c:pt idx="0">
                  <c:v>0.29531091088086858</c:v>
                </c:pt>
                <c:pt idx="1">
                  <c:v>0.57114438509232568</c:v>
                </c:pt>
                <c:pt idx="2">
                  <c:v>0.4961461937319589</c:v>
                </c:pt>
                <c:pt idx="3">
                  <c:v>0.46495147399363113</c:v>
                </c:pt>
                <c:pt idx="4">
                  <c:v>0.41449749157976107</c:v>
                </c:pt>
                <c:pt idx="5">
                  <c:v>0.38757549532282165</c:v>
                </c:pt>
                <c:pt idx="6">
                  <c:v>0.3353356897047291</c:v>
                </c:pt>
                <c:pt idx="7">
                  <c:v>0.2906885193928388</c:v>
                </c:pt>
                <c:pt idx="8">
                  <c:v>0.27265642230056669</c:v>
                </c:pt>
                <c:pt idx="9">
                  <c:v>0.24445757485071401</c:v>
                </c:pt>
                <c:pt idx="10">
                  <c:v>0.20214421506857777</c:v>
                </c:pt>
                <c:pt idx="11">
                  <c:v>0.19053178016805375</c:v>
                </c:pt>
                <c:pt idx="12">
                  <c:v>0.15542492671340133</c:v>
                </c:pt>
                <c:pt idx="13">
                  <c:v>9.8787443988803458E-2</c:v>
                </c:pt>
                <c:pt idx="14">
                  <c:v>9.4582261596666703E-2</c:v>
                </c:pt>
                <c:pt idx="15">
                  <c:v>-0.24994639825823511</c:v>
                </c:pt>
                <c:pt idx="16">
                  <c:v>-0.2559831099790652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357-4D69-8B59-0DF62B2D18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5"/>
        <c:overlap val="-25"/>
        <c:axId val="600908184"/>
        <c:axId val="600908512"/>
      </c:barChart>
      <c:catAx>
        <c:axId val="6009081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6350" cap="flat" cmpd="sng" algn="ctr">
            <a:solidFill>
              <a:schemeClr val="dk1"/>
            </a:solidFill>
            <a:prstDash val="solid"/>
            <a:miter lim="800000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908512"/>
        <c:crosses val="autoZero"/>
        <c:auto val="1"/>
        <c:lblAlgn val="ctr"/>
        <c:lblOffset val="100"/>
        <c:noMultiLvlLbl val="0"/>
      </c:catAx>
      <c:valAx>
        <c:axId val="600908512"/>
        <c:scaling>
          <c:orientation val="minMax"/>
          <c:min val="-0.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908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41506299212598419"/>
          <c:y val="0.13067722003499563"/>
          <c:w val="0.16987401574803149"/>
          <c:h val="5.859416010498688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Number of metro areas that saw an increase in perceived</a:t>
            </a:r>
            <a:r>
              <a:rPr lang="en-US" sz="1100" baseline="0"/>
              <a:t> job density</a:t>
            </a:r>
          </a:p>
          <a:p>
            <a:pPr>
              <a:defRPr/>
            </a:pPr>
            <a:r>
              <a:rPr lang="en-US" sz="1100" baseline="0"/>
              <a:t>2004 to 2015</a:t>
            </a:r>
            <a:endParaRPr lang="en-US" sz="1100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2688547594916972"/>
          <c:y val="0.18209054593874838"/>
          <c:w val="0.73887910050847605"/>
          <c:h val="0.71689479643939313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'Figure 5'!$B$2</c:f>
              <c:strCache>
                <c:ptCount val="1"/>
                <c:pt idx="0">
                  <c:v>Increase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dPt>
            <c:idx val="16"/>
            <c:invertIfNegative val="0"/>
            <c:bubble3D val="0"/>
            <c:spPr>
              <a:solidFill>
                <a:schemeClr val="accent5"/>
              </a:solidFill>
              <a:ln>
                <a:solidFill>
                  <a:schemeClr val="bg1">
                    <a:lumMod val="50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B19F-43A0-BF26-7F49000AEE8F}"/>
              </c:ext>
            </c:extLst>
          </c:dPt>
          <c:cat>
            <c:strRef>
              <c:f>'Figure 5'!$A$3:$A$19</c:f>
              <c:strCache>
                <c:ptCount val="17"/>
                <c:pt idx="0">
                  <c:v>Manufacturing (31-33)</c:v>
                </c:pt>
                <c:pt idx="1">
                  <c:v>Information (51)</c:v>
                </c:pt>
                <c:pt idx="2">
                  <c:v>Local Services (81)</c:v>
                </c:pt>
                <c:pt idx="3">
                  <c:v>Retail (44-45)</c:v>
                </c:pt>
                <c:pt idx="4">
                  <c:v>Finance (52)</c:v>
                </c:pt>
                <c:pt idx="5">
                  <c:v>Logistics (48-49)</c:v>
                </c:pt>
                <c:pt idx="6">
                  <c:v>Construction (23)</c:v>
                </c:pt>
                <c:pt idx="7">
                  <c:v>Wholesale (42)</c:v>
                </c:pt>
                <c:pt idx="8">
                  <c:v>Utilities (22)</c:v>
                </c:pt>
                <c:pt idx="9">
                  <c:v>Real Estate (53)</c:v>
                </c:pt>
                <c:pt idx="10">
                  <c:v>Professional (54)</c:v>
                </c:pt>
                <c:pt idx="11">
                  <c:v>Arts/Entertainment (71)</c:v>
                </c:pt>
                <c:pt idx="12">
                  <c:v>Headquarters (55)</c:v>
                </c:pt>
                <c:pt idx="13">
                  <c:v>Education (61)</c:v>
                </c:pt>
                <c:pt idx="14">
                  <c:v>Hospitality (72)</c:v>
                </c:pt>
                <c:pt idx="15">
                  <c:v>Health Care (62)</c:v>
                </c:pt>
                <c:pt idx="16">
                  <c:v>Total</c:v>
                </c:pt>
              </c:strCache>
            </c:strRef>
          </c:cat>
          <c:val>
            <c:numRef>
              <c:f>'Figure 5'!$G$3:$G$19</c:f>
              <c:numCache>
                <c:formatCode>0%</c:formatCode>
                <c:ptCount val="17"/>
                <c:pt idx="0">
                  <c:v>0.1276595744680851</c:v>
                </c:pt>
                <c:pt idx="1">
                  <c:v>0.18085106382978725</c:v>
                </c:pt>
                <c:pt idx="2">
                  <c:v>0.18085106382978725</c:v>
                </c:pt>
                <c:pt idx="3">
                  <c:v>0.24468085106382978</c:v>
                </c:pt>
                <c:pt idx="4">
                  <c:v>0.30851063829787234</c:v>
                </c:pt>
                <c:pt idx="5">
                  <c:v>0.30851063829787234</c:v>
                </c:pt>
                <c:pt idx="6">
                  <c:v>0.31914893617021278</c:v>
                </c:pt>
                <c:pt idx="7">
                  <c:v>0.31914893617021278</c:v>
                </c:pt>
                <c:pt idx="8">
                  <c:v>0.32978723404255317</c:v>
                </c:pt>
                <c:pt idx="9">
                  <c:v>0.37234042553191488</c:v>
                </c:pt>
                <c:pt idx="10">
                  <c:v>0.61702127659574468</c:v>
                </c:pt>
                <c:pt idx="11">
                  <c:v>0.63829787234042556</c:v>
                </c:pt>
                <c:pt idx="12">
                  <c:v>0.64893617021276595</c:v>
                </c:pt>
                <c:pt idx="13">
                  <c:v>0.72340425531914898</c:v>
                </c:pt>
                <c:pt idx="14">
                  <c:v>0.74468085106382975</c:v>
                </c:pt>
                <c:pt idx="15">
                  <c:v>0.76595744680851063</c:v>
                </c:pt>
                <c:pt idx="16">
                  <c:v>0.51063829787234039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19F-43A0-BF26-7F49000AEE8F}"/>
            </c:ext>
          </c:extLst>
        </c:ser>
        <c:ser>
          <c:idx val="1"/>
          <c:order val="1"/>
          <c:tx>
            <c:strRef>
              <c:f>'Figure 5'!$D$2</c:f>
              <c:strCache>
                <c:ptCount val="1"/>
                <c:pt idx="0">
                  <c:v>Greater increase than expected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val>
            <c:numRef>
              <c:f>'Figure 5'!$H$3:$H$19</c:f>
              <c:numCache>
                <c:formatCode>0%</c:formatCode>
                <c:ptCount val="17"/>
                <c:pt idx="0">
                  <c:v>0.19148936170212766</c:v>
                </c:pt>
                <c:pt idx="1">
                  <c:v>0.22340425531914893</c:v>
                </c:pt>
                <c:pt idx="2">
                  <c:v>0.1276595744680851</c:v>
                </c:pt>
                <c:pt idx="3">
                  <c:v>0.11702127659574468</c:v>
                </c:pt>
                <c:pt idx="4">
                  <c:v>0.26595744680851063</c:v>
                </c:pt>
                <c:pt idx="5">
                  <c:v>0.1702127659574468</c:v>
                </c:pt>
                <c:pt idx="6">
                  <c:v>0.34042553191489361</c:v>
                </c:pt>
                <c:pt idx="7">
                  <c:v>0.1702127659574468</c:v>
                </c:pt>
                <c:pt idx="8">
                  <c:v>0.37234042553191488</c:v>
                </c:pt>
                <c:pt idx="9">
                  <c:v>0.25531914893617019</c:v>
                </c:pt>
                <c:pt idx="10">
                  <c:v>0.19148936170212766</c:v>
                </c:pt>
                <c:pt idx="11">
                  <c:v>0.40425531914893614</c:v>
                </c:pt>
                <c:pt idx="12">
                  <c:v>0.41489361702127658</c:v>
                </c:pt>
                <c:pt idx="13">
                  <c:v>0.22340425531914893</c:v>
                </c:pt>
                <c:pt idx="14">
                  <c:v>0.19148936170212766</c:v>
                </c:pt>
                <c:pt idx="15">
                  <c:v>0.22340425531914893</c:v>
                </c:pt>
                <c:pt idx="16">
                  <c:v>0.1702127659574468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B19F-43A0-BF26-7F49000AEE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5"/>
        <c:overlap val="-25"/>
        <c:axId val="30690496"/>
        <c:axId val="31197456"/>
      </c:barChart>
      <c:catAx>
        <c:axId val="30690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97456"/>
        <c:crosses val="autoZero"/>
        <c:auto val="1"/>
        <c:lblAlgn val="ctr"/>
        <c:lblOffset val="100"/>
        <c:noMultiLvlLbl val="0"/>
      </c:catAx>
      <c:valAx>
        <c:axId val="31197456"/>
        <c:scaling>
          <c:orientation val="minMax"/>
          <c:max val="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690496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t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legendEntry>
      <c:layout>
        <c:manualLayout>
          <c:xMode val="edge"/>
          <c:yMode val="edge"/>
          <c:x val="0.31578506853310012"/>
          <c:y val="0.11604527296937416"/>
          <c:w val="0.36842986293379992"/>
          <c:h val="5.617549304339620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100"/>
              <a:t>Number of metro areas that saw an increase in perceived</a:t>
            </a:r>
            <a:r>
              <a:rPr lang="en-US" sz="1100" baseline="0"/>
              <a:t> job density</a:t>
            </a:r>
          </a:p>
          <a:p>
            <a:pPr>
              <a:defRPr/>
            </a:pPr>
            <a:r>
              <a:rPr lang="en-US" sz="1100" baseline="0"/>
              <a:t>2004 to 2015</a:t>
            </a:r>
            <a:endParaRPr lang="en-US" sz="1100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2688547594916972"/>
          <c:y val="0.18874833555259657"/>
          <c:w val="0.73887910050847605"/>
          <c:h val="0.7102370068255449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'Figure 5'!$B$2</c:f>
              <c:strCache>
                <c:ptCount val="1"/>
                <c:pt idx="0">
                  <c:v>Increase</c:v>
                </c:pt>
              </c:strCache>
            </c:strRef>
          </c:tx>
          <c:spPr>
            <a:solidFill>
              <a:schemeClr val="accent5"/>
            </a:solidFill>
            <a:ln>
              <a:solidFill>
                <a:schemeClr val="accent5"/>
              </a:solidFill>
            </a:ln>
            <a:effectLst/>
          </c:spPr>
          <c:invertIfNegative val="0"/>
          <c:dPt>
            <c:idx val="16"/>
            <c:invertIfNegative val="0"/>
            <c:bubble3D val="0"/>
            <c:spPr>
              <a:solidFill>
                <a:schemeClr val="accent5"/>
              </a:solidFill>
              <a:ln>
                <a:solidFill>
                  <a:schemeClr val="bg1">
                    <a:lumMod val="50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055-4A97-9C64-39FD91829160}"/>
              </c:ext>
            </c:extLst>
          </c:dPt>
          <c:cat>
            <c:strRef>
              <c:f>'Figure 5'!$A$3:$A$19</c:f>
              <c:strCache>
                <c:ptCount val="17"/>
                <c:pt idx="0">
                  <c:v>Manufacturing (31-33)</c:v>
                </c:pt>
                <c:pt idx="1">
                  <c:v>Information (51)</c:v>
                </c:pt>
                <c:pt idx="2">
                  <c:v>Local Services (81)</c:v>
                </c:pt>
                <c:pt idx="3">
                  <c:v>Retail (44-45)</c:v>
                </c:pt>
                <c:pt idx="4">
                  <c:v>Finance (52)</c:v>
                </c:pt>
                <c:pt idx="5">
                  <c:v>Logistics (48-49)</c:v>
                </c:pt>
                <c:pt idx="6">
                  <c:v>Construction (23)</c:v>
                </c:pt>
                <c:pt idx="7">
                  <c:v>Wholesale (42)</c:v>
                </c:pt>
                <c:pt idx="8">
                  <c:v>Utilities (22)</c:v>
                </c:pt>
                <c:pt idx="9">
                  <c:v>Real Estate (53)</c:v>
                </c:pt>
                <c:pt idx="10">
                  <c:v>Professional (54)</c:v>
                </c:pt>
                <c:pt idx="11">
                  <c:v>Arts/Entertainment (71)</c:v>
                </c:pt>
                <c:pt idx="12">
                  <c:v>Headquarters (55)</c:v>
                </c:pt>
                <c:pt idx="13">
                  <c:v>Education (61)</c:v>
                </c:pt>
                <c:pt idx="14">
                  <c:v>Hospitality (72)</c:v>
                </c:pt>
                <c:pt idx="15">
                  <c:v>Health Care (62)</c:v>
                </c:pt>
                <c:pt idx="16">
                  <c:v>Total</c:v>
                </c:pt>
              </c:strCache>
            </c:strRef>
          </c:cat>
          <c:val>
            <c:numRef>
              <c:f>'Figure 5'!$G$3:$G$19</c:f>
              <c:numCache>
                <c:formatCode>0%</c:formatCode>
                <c:ptCount val="17"/>
                <c:pt idx="0">
                  <c:v>0.1276595744680851</c:v>
                </c:pt>
                <c:pt idx="1">
                  <c:v>0.18085106382978725</c:v>
                </c:pt>
                <c:pt idx="2">
                  <c:v>0.18085106382978725</c:v>
                </c:pt>
                <c:pt idx="3">
                  <c:v>0.24468085106382978</c:v>
                </c:pt>
                <c:pt idx="4">
                  <c:v>0.30851063829787234</c:v>
                </c:pt>
                <c:pt idx="5">
                  <c:v>0.30851063829787234</c:v>
                </c:pt>
                <c:pt idx="6">
                  <c:v>0.31914893617021278</c:v>
                </c:pt>
                <c:pt idx="7">
                  <c:v>0.31914893617021278</c:v>
                </c:pt>
                <c:pt idx="8">
                  <c:v>0.32978723404255317</c:v>
                </c:pt>
                <c:pt idx="9">
                  <c:v>0.37234042553191488</c:v>
                </c:pt>
                <c:pt idx="10">
                  <c:v>0.61702127659574468</c:v>
                </c:pt>
                <c:pt idx="11">
                  <c:v>0.63829787234042556</c:v>
                </c:pt>
                <c:pt idx="12">
                  <c:v>0.64893617021276595</c:v>
                </c:pt>
                <c:pt idx="13">
                  <c:v>0.72340425531914898</c:v>
                </c:pt>
                <c:pt idx="14">
                  <c:v>0.74468085106382975</c:v>
                </c:pt>
                <c:pt idx="15">
                  <c:v>0.76595744680851063</c:v>
                </c:pt>
                <c:pt idx="16">
                  <c:v>0.51063829787234039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055-4A97-9C64-39FD91829160}"/>
            </c:ext>
          </c:extLst>
        </c:ser>
        <c:ser>
          <c:idx val="1"/>
          <c:order val="1"/>
          <c:tx>
            <c:strRef>
              <c:f>'Figure 5'!$D$2</c:f>
              <c:strCache>
                <c:ptCount val="1"/>
                <c:pt idx="0">
                  <c:v>Greater increase than expected</c:v>
                </c:pt>
              </c:strCache>
            </c:strRef>
          </c:tx>
          <c:spPr>
            <a:solidFill>
              <a:schemeClr val="bg1">
                <a:lumMod val="65000"/>
              </a:schemeClr>
            </a:solidFill>
            <a:ln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val>
            <c:numRef>
              <c:f>'Figure 5'!$H$3:$H$19</c:f>
              <c:numCache>
                <c:formatCode>0%</c:formatCode>
                <c:ptCount val="17"/>
                <c:pt idx="0">
                  <c:v>0.19148936170212766</c:v>
                </c:pt>
                <c:pt idx="1">
                  <c:v>0.22340425531914893</c:v>
                </c:pt>
                <c:pt idx="2">
                  <c:v>0.1276595744680851</c:v>
                </c:pt>
                <c:pt idx="3">
                  <c:v>0.11702127659574468</c:v>
                </c:pt>
                <c:pt idx="4">
                  <c:v>0.26595744680851063</c:v>
                </c:pt>
                <c:pt idx="5">
                  <c:v>0.1702127659574468</c:v>
                </c:pt>
                <c:pt idx="6">
                  <c:v>0.34042553191489361</c:v>
                </c:pt>
                <c:pt idx="7">
                  <c:v>0.1702127659574468</c:v>
                </c:pt>
                <c:pt idx="8">
                  <c:v>0.37234042553191488</c:v>
                </c:pt>
                <c:pt idx="9">
                  <c:v>0.25531914893617019</c:v>
                </c:pt>
                <c:pt idx="10">
                  <c:v>0.19148936170212766</c:v>
                </c:pt>
                <c:pt idx="11">
                  <c:v>0.40425531914893614</c:v>
                </c:pt>
                <c:pt idx="12">
                  <c:v>0.41489361702127658</c:v>
                </c:pt>
                <c:pt idx="13">
                  <c:v>0.22340425531914893</c:v>
                </c:pt>
                <c:pt idx="14">
                  <c:v>0.19148936170212766</c:v>
                </c:pt>
                <c:pt idx="15">
                  <c:v>0.22340425531914893</c:v>
                </c:pt>
                <c:pt idx="16">
                  <c:v>0.1702127659574468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055-4A97-9C64-39FD9182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5"/>
        <c:overlap val="-25"/>
        <c:axId val="30690496"/>
        <c:axId val="31197456"/>
      </c:barChart>
      <c:catAx>
        <c:axId val="30690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97456"/>
        <c:crosses val="autoZero"/>
        <c:auto val="1"/>
        <c:lblAlgn val="ctr"/>
        <c:lblOffset val="100"/>
        <c:noMultiLvlLbl val="0"/>
      </c:catAx>
      <c:valAx>
        <c:axId val="31197456"/>
        <c:scaling>
          <c:orientation val="minMax"/>
          <c:max val="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0690496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1578506853310012"/>
          <c:y val="0.11937416777629827"/>
          <c:w val="0.36842986293379992"/>
          <c:h val="5.617549304339620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0.16507</cdr:x>
      <cdr:y>0.94618</cdr:y>
    </cdr:from>
    <cdr:to>
      <cdr:x>1</cdr:x>
      <cdr:y>0.99045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39CC831A-9450-4ECA-B05E-75FB61C5612C}"/>
            </a:ext>
          </a:extLst>
        </cdr:cNvPr>
        <cdr:cNvSpPr txBox="1"/>
      </cdr:nvSpPr>
      <cdr:spPr>
        <a:xfrm xmlns:a="http://schemas.openxmlformats.org/drawingml/2006/main">
          <a:off x="1132050" y="3460750"/>
          <a:ext cx="5725950" cy="1619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10.xml><?xml version="1.0" encoding="utf-8"?>
<c:userShapes xmlns:c="http://schemas.openxmlformats.org/drawingml/2006/chart">
  <cdr:relSizeAnchor xmlns:cdr="http://schemas.openxmlformats.org/drawingml/2006/chartDrawing">
    <cdr:from>
      <cdr:x>0.14851</cdr:x>
      <cdr:y>0.93681</cdr:y>
    </cdr:from>
    <cdr:to>
      <cdr:x>1</cdr:x>
      <cdr:y>0.97932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437F398C-1D4A-455C-89ED-491DFCE1B26A}"/>
            </a:ext>
          </a:extLst>
        </cdr:cNvPr>
        <cdr:cNvSpPr txBox="1"/>
      </cdr:nvSpPr>
      <cdr:spPr>
        <a:xfrm xmlns:a="http://schemas.openxmlformats.org/drawingml/2006/main">
          <a:off x="882670" y="3426460"/>
          <a:ext cx="5060930" cy="15551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11.xml><?xml version="1.0" encoding="utf-8"?>
<c:userShapes xmlns:c="http://schemas.openxmlformats.org/drawingml/2006/chart">
  <cdr:relSizeAnchor xmlns:cdr="http://schemas.openxmlformats.org/drawingml/2006/chartDrawing">
    <cdr:from>
      <cdr:x>0.14851</cdr:x>
      <cdr:y>0.93681</cdr:y>
    </cdr:from>
    <cdr:to>
      <cdr:x>1</cdr:x>
      <cdr:y>0.97932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437F398C-1D4A-455C-89ED-491DFCE1B26A}"/>
            </a:ext>
          </a:extLst>
        </cdr:cNvPr>
        <cdr:cNvSpPr txBox="1"/>
      </cdr:nvSpPr>
      <cdr:spPr>
        <a:xfrm xmlns:a="http://schemas.openxmlformats.org/drawingml/2006/main">
          <a:off x="882670" y="3426460"/>
          <a:ext cx="5060930" cy="15551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12.xml><?xml version="1.0" encoding="utf-8"?>
<c:userShapes xmlns:c="http://schemas.openxmlformats.org/drawingml/2006/chart">
  <cdr:relSizeAnchor xmlns:cdr="http://schemas.openxmlformats.org/drawingml/2006/chartDrawing">
    <cdr:from>
      <cdr:x>0.1512</cdr:x>
      <cdr:y>0.94991</cdr:y>
    </cdr:from>
    <cdr:to>
      <cdr:x>1</cdr:x>
      <cdr:y>0.99197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E241829C-5B58-40BA-897D-0183AA81B5B0}"/>
            </a:ext>
          </a:extLst>
        </cdr:cNvPr>
        <cdr:cNvSpPr txBox="1"/>
      </cdr:nvSpPr>
      <cdr:spPr>
        <a:xfrm xmlns:a="http://schemas.openxmlformats.org/drawingml/2006/main">
          <a:off x="879969" y="3660775"/>
          <a:ext cx="4939806" cy="1621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13.xml><?xml version="1.0" encoding="utf-8"?>
<c:userShapes xmlns:c="http://schemas.openxmlformats.org/drawingml/2006/chart">
  <cdr:relSizeAnchor xmlns:cdr="http://schemas.openxmlformats.org/drawingml/2006/chartDrawing">
    <cdr:from>
      <cdr:x>0.1512</cdr:x>
      <cdr:y>0.94991</cdr:y>
    </cdr:from>
    <cdr:to>
      <cdr:x>1</cdr:x>
      <cdr:y>0.99197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E241829C-5B58-40BA-897D-0183AA81B5B0}"/>
            </a:ext>
          </a:extLst>
        </cdr:cNvPr>
        <cdr:cNvSpPr txBox="1"/>
      </cdr:nvSpPr>
      <cdr:spPr>
        <a:xfrm xmlns:a="http://schemas.openxmlformats.org/drawingml/2006/main">
          <a:off x="879969" y="3660775"/>
          <a:ext cx="4939806" cy="1621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14.xml><?xml version="1.0" encoding="utf-8"?>
<c:userShapes xmlns:c="http://schemas.openxmlformats.org/drawingml/2006/chart">
  <cdr:relSizeAnchor xmlns:cdr="http://schemas.openxmlformats.org/drawingml/2006/chartDrawing">
    <cdr:from>
      <cdr:x>0.30769</cdr:x>
      <cdr:y>0.94271</cdr:y>
    </cdr:from>
    <cdr:to>
      <cdr:x>0.9968</cdr:x>
      <cdr:y>0.98698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828801" y="3448050"/>
          <a:ext cx="4095750" cy="16192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  <a:p xmlns:a="http://schemas.openxmlformats.org/drawingml/2006/main">
          <a:endParaRPr lang="en-US" sz="1100"/>
        </a:p>
      </cdr:txBody>
    </cdr:sp>
  </cdr:relSizeAnchor>
</c:userShapes>
</file>

<file path=word/drawings/drawing15.xml><?xml version="1.0" encoding="utf-8"?>
<c:userShapes xmlns:c="http://schemas.openxmlformats.org/drawingml/2006/chart">
  <cdr:relSizeAnchor xmlns:cdr="http://schemas.openxmlformats.org/drawingml/2006/chartDrawing">
    <cdr:from>
      <cdr:x>0.16213</cdr:x>
      <cdr:y>0.92057</cdr:y>
    </cdr:from>
    <cdr:to>
      <cdr:x>0.99573</cdr:x>
      <cdr:y>0.9879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963656" y="3367090"/>
          <a:ext cx="4954585" cy="2462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*Weighted job density for headquarters was expected to grow by 174% but went up by 162%, not fully shown here.</a:t>
          </a:r>
        </a:p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16.xml><?xml version="1.0" encoding="utf-8"?>
<c:userShapes xmlns:c="http://schemas.openxmlformats.org/drawingml/2006/chart">
  <cdr:relSizeAnchor xmlns:cdr="http://schemas.openxmlformats.org/drawingml/2006/chartDrawing">
    <cdr:from>
      <cdr:x>0</cdr:x>
      <cdr:y>0.94358</cdr:y>
    </cdr:from>
    <cdr:to>
      <cdr:x>1</cdr:x>
      <cdr:y>0.98954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BBB8E0CA-F706-4D88-B51D-ED7880BC9071}"/>
            </a:ext>
          </a:extLst>
        </cdr:cNvPr>
        <cdr:cNvSpPr txBox="1"/>
      </cdr:nvSpPr>
      <cdr:spPr>
        <a:xfrm xmlns:a="http://schemas.openxmlformats.org/drawingml/2006/main">
          <a:off x="0" y="3451225"/>
          <a:ext cx="5943600" cy="168118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0.16507</cdr:x>
      <cdr:y>0.94618</cdr:y>
    </cdr:from>
    <cdr:to>
      <cdr:x>1</cdr:x>
      <cdr:y>0.99045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39CC831A-9450-4ECA-B05E-75FB61C5612C}"/>
            </a:ext>
          </a:extLst>
        </cdr:cNvPr>
        <cdr:cNvSpPr txBox="1"/>
      </cdr:nvSpPr>
      <cdr:spPr>
        <a:xfrm xmlns:a="http://schemas.openxmlformats.org/drawingml/2006/main">
          <a:off x="1132050" y="3460750"/>
          <a:ext cx="5725950" cy="1619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0.16507</cdr:x>
      <cdr:y>0.94618</cdr:y>
    </cdr:from>
    <cdr:to>
      <cdr:x>1</cdr:x>
      <cdr:y>0.99045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39CC831A-9450-4ECA-B05E-75FB61C5612C}"/>
            </a:ext>
          </a:extLst>
        </cdr:cNvPr>
        <cdr:cNvSpPr txBox="1"/>
      </cdr:nvSpPr>
      <cdr:spPr>
        <a:xfrm xmlns:a="http://schemas.openxmlformats.org/drawingml/2006/main">
          <a:off x="1132050" y="3460750"/>
          <a:ext cx="5725950" cy="16192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0.16186</cdr:x>
      <cdr:y>0.94271</cdr:y>
    </cdr:from>
    <cdr:to>
      <cdr:x>0.99679</cdr:x>
      <cdr:y>0.98698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962025" y="3448050"/>
          <a:ext cx="4962525" cy="16192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0.16186</cdr:x>
      <cdr:y>0.94271</cdr:y>
    </cdr:from>
    <cdr:to>
      <cdr:x>0.99679</cdr:x>
      <cdr:y>0.98698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962025" y="3448050"/>
          <a:ext cx="4962525" cy="16192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0.25683</cdr:x>
      <cdr:y>0.94618</cdr:y>
    </cdr:from>
    <cdr:to>
      <cdr:x>1</cdr:x>
      <cdr:y>0.99222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BB7A8F92-98E9-4DF8-95CD-D59A75FDE74B}"/>
            </a:ext>
          </a:extLst>
        </cdr:cNvPr>
        <cdr:cNvSpPr txBox="1"/>
      </cdr:nvSpPr>
      <cdr:spPr>
        <a:xfrm xmlns:a="http://schemas.openxmlformats.org/drawingml/2006/main">
          <a:off x="1761340" y="3460750"/>
          <a:ext cx="5096660" cy="1684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0.25683</cdr:x>
      <cdr:y>0.94618</cdr:y>
    </cdr:from>
    <cdr:to>
      <cdr:x>1</cdr:x>
      <cdr:y>0.99222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BB7A8F92-98E9-4DF8-95CD-D59A75FDE74B}"/>
            </a:ext>
          </a:extLst>
        </cdr:cNvPr>
        <cdr:cNvSpPr txBox="1"/>
      </cdr:nvSpPr>
      <cdr:spPr>
        <a:xfrm xmlns:a="http://schemas.openxmlformats.org/drawingml/2006/main">
          <a:off x="1761340" y="3460750"/>
          <a:ext cx="5096660" cy="16840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0.1442</cdr:x>
      <cdr:y>0.94195</cdr:y>
    </cdr:from>
    <cdr:to>
      <cdr:x>1</cdr:x>
      <cdr:y>0.98634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E241829C-5B58-40BA-897D-0183AA81B5B0}"/>
            </a:ext>
          </a:extLst>
        </cdr:cNvPr>
        <cdr:cNvSpPr txBox="1"/>
      </cdr:nvSpPr>
      <cdr:spPr>
        <a:xfrm xmlns:a="http://schemas.openxmlformats.org/drawingml/2006/main">
          <a:off x="857362" y="3441700"/>
          <a:ext cx="5088143" cy="1621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0.1442</cdr:x>
      <cdr:y>0.94195</cdr:y>
    </cdr:from>
    <cdr:to>
      <cdr:x>1</cdr:x>
      <cdr:y>0.98634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E241829C-5B58-40BA-897D-0183AA81B5B0}"/>
            </a:ext>
          </a:extLst>
        </cdr:cNvPr>
        <cdr:cNvSpPr txBox="1"/>
      </cdr:nvSpPr>
      <cdr:spPr>
        <a:xfrm xmlns:a="http://schemas.openxmlformats.org/drawingml/2006/main">
          <a:off x="857362" y="3441700"/>
          <a:ext cx="5088143" cy="1621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r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en-US" sz="800" i="1">
              <a:effectLst/>
              <a:latin typeface="+mn-lt"/>
              <a:ea typeface="+mn-ea"/>
              <a:cs typeface="+mn-cs"/>
            </a:rPr>
            <a:t>Source: Brookings Analysis of Census LEHD Origin-Destination</a:t>
          </a:r>
          <a:r>
            <a:rPr lang="en-US" sz="800" i="1" baseline="0">
              <a:effectLst/>
              <a:latin typeface="+mn-lt"/>
              <a:ea typeface="+mn-ea"/>
              <a:cs typeface="+mn-cs"/>
            </a:rPr>
            <a:t> Employment Statistics.</a:t>
          </a:r>
          <a:endParaRPr lang="en-US" sz="800">
            <a:effectLst/>
          </a:endParaRP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384550A7-52A1-492C-9305-F86E6629E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641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Brookings Institution</Company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Joanne Kim</dc:creator>
  <cp:keywords/>
  <dc:description/>
  <cp:lastModifiedBy>Joanne Kim</cp:lastModifiedBy>
  <cp:revision>3</cp:revision>
  <cp:lastPrinted>2019-04-12T19:38:00Z</cp:lastPrinted>
  <dcterms:created xsi:type="dcterms:W3CDTF">2019-04-23T17:25:00Z</dcterms:created>
  <dcterms:modified xsi:type="dcterms:W3CDTF">2019-04-23T17:34:00Z</dcterms:modified>
</cp:coreProperties>
</file>